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912/2023 vom 13. Dezember 2023</w:t>
      </w:r>
    </w:p>
    <w:p>
      <w:r>
        <w:t>Bundesgericht, 2023-12-13, DE</w:t>
      </w:r>
    </w:p>
    <w:p>
      <w:r>
        <w:rPr>
          <w:b/>
        </w:rPr>
        <w:t xml:space="preserve">Quelle: </w:t>
      </w:r>
      <w:r>
        <w:t>https://mcp.opencaselaw.ch/entscheid/bger_5A_912_2023</w:t>
      </w:r>
    </w:p>
    <w:p>
      <w:r>
        <w:t>FR: TF 5A 912/2023 du 13 décembre 2023</w:t>
      </w:r>
    </w:p>
    <w:p>
      <w:r>
        <w:t>IT: TF 5A 912/2023 del 13 dicembre 2023</w:t>
      </w:r>
    </w:p>
    <w:p>
      <w:pPr>
        <w:pStyle w:val="Heading2"/>
      </w:pPr>
      <w:r>
        <w:t>Regeste</w:t>
      </w:r>
    </w:p>
    <w:p>
      <w:r>
        <w:t>Unentgeltliche Rechtspflege (Hauptintervention in einem Lastenbereinigungsverfahren)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das frühere Gesuch um unentgeltliche Rechtspflege sei abgewiesen worden, weil der Beschwerdeführer seine gerichtsnotorisch komplexen Vermögensverhältnisse nicht beleuchtet habe, und er tue dies auch im erneuten Gesuch nicht; die neuen Vorbringen betreffend die angebliche Familienwohnung in U.________ seien nicht nachvollziehbar und es bleibe unerfindlich, weshalb der Erlös aus deren Verwertung ihm zukommen und inwiefern dies die komplexen Vermögensverhältnisse aufhellen sollte.</w:t>
      </w:r>
    </w:p>
    <w:p>
      <w:r>
        <w:rPr>
          <w:b/>
        </w:rPr>
        <w:t>E. 3</w:t>
      </w:r>
    </w:p>
    <w:p>
      <w:r>
        <w:t>Der Beschwerdeführer äussert sich zur Sache selbst und macht im Übrigen geltend, dass die Gerichtskosten beim Betreibungsamt deponiert seien, weshalb für das Beschwerdeverfahren kein Kostenschuss verlangt werden dürfe. Er müsste indes darlegen, inwiefern er vor Obergericht seine komplexen Vermögensverhältnisse umfassend und in nachvollziehbarer Weise dargelegt hätte, so dass seine Prozessarmut als belegt zu erachten gewesen wäre und ihm unentgeltliche Rechtspflege hätte gewährt werden müssen. Dies tut er nicht, wenn er behauptet, von einer solchen Darlegung befreit zu sein, weil der Erlös aus der Verwertung der Familienwohnung ihm zustehen werde und damit alle Gerichtskosten abgedeckt seien.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Entscheid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