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910/2016 vom 1. September 2017</w:t>
      </w:r>
    </w:p>
    <w:p>
      <w:r>
        <w:t>Bundesgericht, 2017-09-01, FR</w:t>
      </w:r>
    </w:p>
    <w:p>
      <w:r>
        <w:rPr>
          <w:b/>
        </w:rPr>
        <w:t xml:space="preserve">Quelle: </w:t>
      </w:r>
      <w:r>
        <w:t>https://mcp.opencaselaw.ch/entscheid/bger_5A_910_2016</w:t>
      </w:r>
    </w:p>
    <w:p>
      <w:r>
        <w:t>FR: TF 5A 910/2016 du 1 septembre 2017</w:t>
      </w:r>
    </w:p>
    <w:p>
      <w:r>
        <w:t>IT: TF 5A 910/2016 del 1 settembre 2017</w:t>
      </w:r>
    </w:p>
    <w:p>
      <w:pPr>
        <w:pStyle w:val="Heading2"/>
      </w:pPr>
      <w:r>
        <w:t>Regeste</w:t>
      </w:r>
    </w:p>
    <w:p>
      <w:r>
        <w:t>exécution d'un séquestre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a été déposé à temps ( art. 100 al. 2 let. a LTF ) à l'encontre d'une décision finale ( art. 90 LTF ; ATF 133 III 350 consid. 1.2) rendue en matière de poursuite pour dettes ( art. 72 al. 2 let. a LTF , en relation avec l' art. 19 LP ) par une autorité de surveillance statuant en dernière (unique) instance cantonale ( art. 75 al. 1 LTF ). Il est recevable sans égard à la valeur litigieuse ( art. 74 al. 2 let . c LTF). Le plaignant, qui a succombé devant la cour cantonale et a un intérêt digne de protection à la modification de la décision entreprise, a qualité pour recourir ( art. 76 al. 1 LTF ).</w:t>
      </w:r>
    </w:p>
    <w:p>
      <w:r>
        <w:rPr>
          <w:b/>
        </w:rPr>
        <w:t>E. 2</w:t>
      </w:r>
    </w:p>
    <w:p>
      <w:r>
        <w:t>La décision relative à l'exécution d'un séquestre ( art. 275 LP ) ne porte pas sur des mesures provisionnelles au sens de l' art. 98 LTF ( ATF 137 III 193 consid. 1.2, avec la jurisprudence mentionnée), contrairement à l'ordonnance elle-même ( ATF 133 III 589 consid. 1). Il s'ensuit que les recourantes peuvent invoquer tous les moyens de recours prévus aux art. 95/96 LTF, que le Tribunal fédéral revoit avec une pleine cognition ( art. 106 al. 1 LTF ).</w:t>
      </w:r>
    </w:p>
    <w:p>
      <w:r>
        <w:rPr>
          <w:b/>
        </w:rPr>
        <w:t>E. 3.1</w:t>
      </w:r>
    </w:p>
    <w:p>
      <w:r>
        <w:t>Après avoir rappelé la distinction entre plainte ( art. 17 LP ) et opposition au séquestre ( art. 278 LP ), la juridiction cantonale a retenu qu'il n'appartient ni à l'office ni aux autorités de surveillance de résoudre la question de savoir si les comptes bancaires séquestrés appartiennent à leur titulaire formel ( i.e. I.________ Co) ou au plaignant, en vertu de leur identité économique, point qui relève de la compétence du juge du séquestre. Au demeurant, cette problématique a déjà été analysée par le Tribunal de première instance, qui avait admis que, en raison de l'identité économique entre les deux protagonistes, la requérante avait " rendu vraisemblable la titularité des biens dont le séquestre avait été requis ". En l'espèce, la requérante poursuit " solidairement " le plaignant et I.________ Co, et le séquestre litigieux n'est manifestement pas nul, l'ordonnance ne présentant aucune imprécision, lacune, ni aucune autre cause de nullité. Il s'ensuit que le chef de conclusions visant à la délivrance d'un procès-verbal de " non-lieu de séquestre " apparaît mal fondé.</w:t>
      </w:r>
    </w:p>
    <w:p>
      <w:r>
        <w:rPr>
          <w:b/>
        </w:rPr>
        <w:t>E. 3.2.1</w:t>
      </w:r>
    </w:p>
    <w:p>
      <w:r>
        <w:t>Comme le Tribunal fédéral statue sur la base des faits constatés par la juridiction précédente ( art. 105 al. 1 LTF ), il convient d'examiner en premier lieu les critiques déduites de l'établissement manifestement inexact des faits ( art. 97 al. 1 LTF ; cf . sur cette notion: ATF 137 III 268 consid. 1.2, avec les citations). En substance, le recourant expose que l'autorité cantonale a arbitrairement omis de constater que le Tribunal de première instance a ordonné deux séquestres - l'un à son encontre et l'autre à l'encontre de la société I.________ Co -, et non pas un seul comme le retient la décision attaquée.</w:t>
      </w:r>
    </w:p>
    <w:p>
      <w:r>
        <w:rPr>
          <w:b/>
        </w:rPr>
        <w:t>E. 3.2.2</w:t>
      </w:r>
    </w:p>
    <w:p>
      <w:r>
        <w:t>A s'en tenir aux constatations de fait de l'autorité précédente, la décision entreprise consacre une violation de la loi. Comme l'a rappelé récemment le Tribunal fédéral, un créancier est habilité à poursuivre plusieurs débiteurs solidaires pour l'entier de sa créance et peut ainsi requérir un séquestre en vue de l'exécution forcée, mais il doit " obtenir un séquestre contre chacun d'eux " (arrêt 5A_252/2017 du 21 juin 2017 consid. 6 et les arrêts cités). Or, en l'espèce, alors même que l'intimée poursuit " solidairement " - selon ses propres déclarations à l'Office - le recourant et la société I.________ Co, la juridiction cantonale ne constate pas que celle-ci aurait aussi été visée par une ordonnance de séquestre ( p. 2 let. A.a ). En instance cantonale, le recourant a allégué, pièces à l'appui, que le Tribunal de première instance avait formellement ordonné le 7 octobre 2014 deux séquestres: l'un à son encontre ( n° cc ccc ccc c ), l'autre à l'encontre de I.________ Co ( n° dd ddd ddd d ), ces ordonnances frappant les mêmes actifs ( plainte, ch. 2.1 n os 1 ss ). Or, dans une telle configuration, la situation juridique est foncièrement différente. En principe, le créancier ne peut désigner à la fois plusieurs débiteurs poursuivis pour la même créance en tant que propriétaires des mêmes biens (hormis le cas de la propriété en main commune), sous peine de nullité ( art. 22 al. 1 LP ) de l'exécution du séquestre ( ATF 107 III 154 consid. 3, avec les arrêts cités). Cependant, la jurisprudence réserve l'éventualité où le créancier, au moment où il a présenté sa requête de séquestre, se trouvait dans l'incertitude quant à savoir lequel de ses débiteurs solidaires est titulaire des biens séquestrés ( ATF 115 III 134 consid. 5 et les citations, notamment l'arrêt B.54/1987 du 23 avril 1987 consid. 2, in : SJ 1987 p. 453). Vu les lacunes de l'état de fait, l'analyse juridique de la juridiction précédente - centrée sur l'incompétence de l'autorité de surveillance pour se prononcer au sujet de l'appartenance des biens séquestrés en raison de l'identité économique - s'avère dès lors biaisée; en l'état, on ne saurait donc partager sa conclusion selon laquelle l'ordonnance de séquestre déférée ne présente " aucune autre cause de nullité ". Il n'appartient pas au Tribunal fédéral de remédier à cette erreur, sauf à priver les parties d'un degré de juridiction ( cf . pour la décision d'irrecevabilité en général: ATF 138 III 46 consid. 1.2) sur la régularité de l'ordonnance litigieuse, problématique dont peut connaître l'autorité de surveillance ( cf . ATF 107 III 155 consid. 3). Il convient, en conséquence, de renvoyer l'affaire à l'autorité précédente pour qu'elle complète ses constatations et statue à nouveau.</w:t>
      </w:r>
    </w:p>
    <w:p>
      <w:r>
        <w:rPr>
          <w:b/>
        </w:rPr>
        <w:t>E. 4</w:t>
      </w:r>
    </w:p>
    <w:p>
      <w:r>
        <w:t>Vu ce qui précède, le présent recours doit être partiellement admis, la décision attaquée annulée et l'affaire renvoyée à l'autorité précédente pour qu'elle statue à nouveau ( art. 107 al. 2 LTF ). Ce renvoi étant dicté par un état de fait lacunaire, il ne se justifie pas d'inviter l'intimée à présenter des observations ( ATF 133 IV 293 consid. 3.4.2 in fine ; arrêts 5A_163/2008 du 27 mai 2008 consid. 5; 5A_736/2008 du 30 mars 2009 consid. 6). Le canton de Genève, qui n'est pas astreint au paiement de frais judiciaires ( art. 66 al. 4 LTF ), versera des dépens au recourant qui l'emporte ( art. 68 al. 1 et 2 LTF ; ATF 137 V 210 consid. 7.1, avec les arrêts mentionnés; parmi plusieurs: arrêts 5A_402/2016 du 16 janvier 2017 consid. 7; 5A_107/2016 du 9 août 2016 consid. 4, non publié aux ATF 142 III 609 ).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