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90/2015 vom 19. Oktober 2015</w:t>
      </w:r>
    </w:p>
    <w:p>
      <w:r>
        <w:t>Bundesgericht, 2015-10-19, DE</w:t>
      </w:r>
    </w:p>
    <w:p>
      <w:r>
        <w:rPr>
          <w:b/>
        </w:rPr>
        <w:t xml:space="preserve">Quelle: </w:t>
      </w:r>
      <w:r>
        <w:t>https://mcp.opencaselaw.ch/entscheid/bger_5A_90_2015</w:t>
      </w:r>
    </w:p>
    <w:p>
      <w:r>
        <w:t>FR: TF 5A 90/2015 du 19 octobre 2015</w:t>
      </w:r>
    </w:p>
    <w:p>
      <w:r>
        <w:t>IT: TF 5A 90/2015 del 19 ottobre 2015</w:t>
      </w:r>
    </w:p>
    <w:p>
      <w:pPr>
        <w:pStyle w:val="Heading2"/>
      </w:pPr>
      <w:r>
        <w:t>Regeste</w:t>
      </w:r>
    </w:p>
    <w:p>
      <w:r>
        <w:t>Rechtsverweigerung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w:t>
      </w:r>
    </w:p>
    <w:p>
      <w:r>
        <w:rPr>
          <w:b/>
        </w:rPr>
        <w:t>E. 1.2</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(u.a. JEANDIN, La plainte et le recours [art. 17-22 et 36 LP], in: Sviluppi e orientamenti del diritto esecutivo federale, 2012, S. 36 f., mit Hinw.), was vorliegend zu prüfen ist.</w:t>
      </w:r>
    </w:p>
    <w:p>
      <w:r>
        <w:rPr>
          <w:b/>
        </w:rPr>
        <w:t>E. 1.2.1</w:t>
      </w:r>
    </w:p>
    <w:p>
      <w:r>
        <w:t>Im Rahmen der Rechtshilfe steht nach der Rechtsprechung dem ersuchenden Betreibungsorgan gegen die Verweigerung der Rechtshilfe durch das ersuchte Amt der Beschwerdeweg nicht offen, sondern es hat die an der verlangten Massnahme Interessierten von der Ablehnung durch das ersuchte Amt zu benachrichtigen, so dass diese selber Beschwerde nach Art. 17 SchKG führen können ( BGE 71 III 75 E. 3 S. 79 ; 31 I 716 E. 1 S. 720). Die Rechtsprechung wird in der Lehre bestätigt (LORANDI, Betreibungsrechtliche Beschwerde und Nichtigkeit, 2000, N. 194 zu Art. 17 SchKG ) und in der kantonalen Praxis befolgt (PKG 2010 S. 67 ff. E. 5), aber auch kritisiert, soweit sie ausnahmslos angewendet wird (JAEGER, Bundesgesetz betreffend Schuldbetreibung und Konkurs, Bd. I, 1911, N. 2 zu Art. 17 SchKG , S. 30; gl.M. NÖTZLI, Die analoge Anwendung zivilprozessualer Normen auf das Beschwerdeverfahren nach SchKG [...], 1980, S. 76/77, mit Hinw. auf abweichende kantonale Praxis).</w:t>
      </w:r>
    </w:p>
    <w:p>
      <w:r>
        <w:rPr>
          <w:b/>
        </w:rPr>
        <w:t>E. 1.2.2</w:t>
      </w:r>
    </w:p>
    <w:p>
      <w:r>
        <w:t>Die Tragweite dieser Rechtsprechung muss im konkreten Fall nicht abschliessend erörtert werden. Bereits in BGE 83 III 129 , wo gegen die Verweigerung der Rechtshilfe nicht nur einige Konkursgläubiger, sondern auch das ersuchende Amt "namens der Masse" Beschwerde geführt haben, gab es keinen Anlass, die Beschwerdelegitimation des Konkursamtes in Frage zu stellen. Allgemein gilt, dass das Konkursamt bzw. die Konkursverwaltung zur betreibungsrechtlichen Beschwerde legitimiert ist, soweit es um die Interessen der Masse und damit um solche der Gesamtheit der Gläubiger geht, z.B. um die Aufhebung einer Sicherungsmassnahme ( Art. 223 SchKG ) betreffend das Konkursvermögen ( BGE 116 III 32 E. 1 S. 34; 103 III 79 E. 1 S. 81; vgl. Urteil 5A_688/2012 vom 29. April 2013 E. 2; GILLIÉRON, Poursuite pour dettes, faillite et concordat, 5. Aufl. 2012, Rz. 259).</w:t>
      </w:r>
    </w:p>
    <w:p>
      <w:r>
        <w:rPr>
          <w:b/>
        </w:rPr>
        <w:t>E. 1.2.3</w:t>
      </w:r>
    </w:p>
    <w:p>
      <w:r>
        <w:t>Würde die Aufsichtsbehörde des Konkursamtes die Vorladung zur Einvernahme des Schuldners anlässlich der Inventur (gemäss Art. 37 KOV i.V.m. Art. 221 und Art. 229 Abs. 1 SchKG ) und zur entsprechenden Mitwirkung im Konkursverfahren aufheben, wäre das Konkursamt legitimiert, den Entscheid anzufechten, um die Interessen der Gläubigergesamtheit wahrzunehmen. Das Gleiche gilt, wenn sich - wie hier - die Behörde eines anderen Amtskreises weigert, Rechtshilfe zur Einvernahme des Schuldners zu leisten. Es ist nicht erforderlich, dass das ersuchende Konkursamt Basel-Stadt die Gläubigerin (Stiftung B.________) benachrichtigt, damit diese Beschwerde erhebe, denn es ist selber - soweit es um das Interesse der Gläubigergesamtheit geht - an der verlangten Massnahme genügend interessiert. So wie die Erstinstanz dem Konkursamt Basel-Stadt im Konkurs der A.________ GmbH ohne weiteres ein schutzwürdiges Interesse zur Beschwerdeführung gemäss Art. 17 SchKG zu Recht zuerkannt hat, ist dem Konkursamt Basel-Stadt das schutzwürdige Interesse an der Aufhebung oder Änderung des angefochtenen Entscheides bzw. das Beschwerderecht zuzuerkennen ( Art. 76 Abs. 1 lit. b BGG ).</w:t>
      </w:r>
    </w:p>
    <w:p>
      <w:r>
        <w:rPr>
          <w:b/>
        </w:rPr>
        <w:t>E. 1.2.4</w:t>
      </w:r>
    </w:p>
    <w:p>
      <w:r>
        <w:t>Das Konkursamt Basel-Stadt hat Beschwerde auch als "Vertreter der Konkursmasse" A.________ GmbH erhoben. Die Unterscheidung spielt vorliegend keine Rolle; ausschlaggebend sind die vom Konkursamt - als offizielles Organ der Konkursmasse (vgl. Urteil 5P.376/2002 vom 21. November 2002 E. 2.2) - zu wahrenden Interessen der Gläubigergesamtheit (vgl. BGE 116 III 32 E. 1 S. 34).</w:t>
      </w:r>
    </w:p>
    <w:p>
      <w:r>
        <w:rPr>
          <w:b/>
        </w:rPr>
        <w:t>E. 1.3</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gibt das Gesuch des Konkursamtes am Konkursort, welches vom Konkursamt in einem anderen Amtskreis verlangt, die Einvernahme des Schuldners anlässlich der Inventaraufnahme durchzuführen. Das Konkursamt Basel-Stadt bringt neben der Rüge der Gehörsverletzung vor, dass das Konkursamt Aargau, Dienststelle Brugg, zur Beschwerde gemäss Art. 18 SchKG nicht legitimiert sei, um die von der unteren Aufsichtsbehörde angeordnete Ausführung des Rechtshilfeauftrages anzufechten. In der Sache macht das Konkursamt Basel-Stadt im Wesentlichen geltend, dass die Rechtshilfe nach Art. 4 Abs. 1 SchKG eine Pflicht und auf Verlangen zu leisten sei.</w:t>
      </w:r>
    </w:p>
    <w:p>
      <w:r>
        <w:rPr>
          <w:b/>
        </w:rPr>
        <w:t>E. 2.1</w:t>
      </w:r>
    </w:p>
    <w:p>
      <w:r>
        <w:t>Das Bundesgericht hat die Legitimation des Konkursamtes zur Beschwerdeführung im Fall, dass es im Rechtshilfedienst handelt, geklärt ( BGE 47 III 21 S. 22; 48 III 182 S. 183). Vorliegend ist die - bereits erwähnte (E. 1.2.2) - Voraussetzung, dass das Konkursamt Aargau, Dienststelle Brugg, die Interessen der Masse und damit solche der Gesamtheit der Gläubiger wahrzunehmen hat, nicht erfüllt. Das betreffende Konkursamt will mit seiner Beschwerde an die obere Aufsichtsbehörde lediglich feststellen lassen, dass es in seiner Eigenschaft als mit Rechtshilfe beauftragtes Amt zur Verweigerung der Rechtshilfe berechtigt gewesen sei, und dass die untere Aufsichtsbehörde in seinem Verhalten zu Unrecht einen Verstoss gegen Art. 4 SchKG erblickt habe. In einer Frage solcher Art ist das Konkursamt den Aufsichtsbehörden untergeordnet und kann ihre Anordnungen - wie das Betreibungsamt - nicht weiterziehen ( BGE 47 III 21 S. 22; 48 III 182 S. 183; Urteil 5A_688/2012 vom 29. April 2013 E. 2.3).</w:t>
      </w:r>
    </w:p>
    <w:p>
      <w:r>
        <w:rPr>
          <w:b/>
        </w:rPr>
        <w:t>E. 2.2</w:t>
      </w:r>
    </w:p>
    <w:p>
      <w:r>
        <w:t>Mit den dargelegten Regeln ist nicht vereinbar, wenn die Vorinstanz auf die Beschwerde des Konkursamtes Aargau, Dienststelle Brugg, gegen den Entscheid der unteren Aufsichtsbehörde eingetreten ist. Das Eingreifen der oberen Aufsichtsbehörde von Amtes wegen, indem sie den erstinstanzlichen Entscheid trotz unzulässiger betreibungsrechtlicher Beschwerde aufgehoben hat, wird im angefochtenen Entscheid nicht gerechtfertigt.</w:t>
      </w:r>
    </w:p>
    <w:p>
      <w:r>
        <w:rPr>
          <w:b/>
        </w:rPr>
        <w:t>E. 2.3</w:t>
      </w:r>
    </w:p>
    <w:p>
      <w:r>
        <w:t>Nach dem Dargelegten wird das Eintreten der Vorinstanz auf die Beschwerde ( Art. 18 SchKG ) zu Recht gerügt und ist die vorliegende Beschwerde begründet. Bei diesem Ergebnis sind die Rüge einer Gehörsverletzung im vorinstanzlichen Verfahren sowie die weiteren Vorbringen nicht zu erörtern.</w:t>
      </w:r>
    </w:p>
    <w:p>
      <w:r>
        <w:rPr>
          <w:b/>
        </w:rPr>
        <w:t>E. 3</w:t>
      </w:r>
    </w:p>
    <w:p>
      <w:r>
        <w:t>Die Beschwerde in Zivilsachen ist gutzuheissen und der Entscheid des Obergerichts des Kantons Aargau, Schuldbetreibungs- und Konkurskommission als obere betreibungsrechtliche Aufsichtsbehörde, vom 14. Januar 2015 wird aufgehoben. Entsprechend der Beschwerdebegründung (fehlende Beschwerdelegitimation im vorinstanzlichen Verfahren) ist Dispositivziff. 1 des angefochtenen Entscheides dahingehend zu ersetzen, dass auf die Beschwerde nicht einzutreten ist. Es werden weder Gerichtskosten auferlegt, noch 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