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90/2012 vom 4. Juli 2012</w:t>
      </w:r>
    </w:p>
    <w:p>
      <w:r>
        <w:t>Bundesgericht, 2012-07-04, FR</w:t>
      </w:r>
    </w:p>
    <w:p>
      <w:r>
        <w:rPr>
          <w:b/>
        </w:rPr>
        <w:t xml:space="preserve">Quelle: </w:t>
      </w:r>
      <w:r>
        <w:t>https://mcp.opencaselaw.ch/entscheid/bger_5A_90_2012</w:t>
      </w:r>
    </w:p>
    <w:p>
      <w:r>
        <w:t>FR: TF 5A 90/2012 du 4 juillet 2012</w:t>
      </w:r>
    </w:p>
    <w:p>
      <w:r>
        <w:t>IT: TF 5A 90/2012 del 4 luglio 2012</w:t>
      </w:r>
    </w:p>
    <w:p>
      <w:pPr>
        <w:pStyle w:val="Heading2"/>
      </w:pPr>
      <w:r>
        <w:t>Regeste</w:t>
      </w:r>
    </w:p>
    <w:p>
      <w:r>
        <w:t>divorce (contribution d'entretien) | Droit de la famille</w:t>
      </w:r>
    </w:p>
    <w:p>
      <w:pPr>
        <w:pStyle w:val="Heading2"/>
      </w:pPr>
      <w:r>
        <w:t>Erwägungen</w:t>
      </w:r>
    </w:p>
    <w:p>
      <w:r>
        <w:rPr>
          <w:b/>
        </w:rPr>
        <w:t>E. 1.1</w:t>
      </w:r>
    </w:p>
    <w:p>
      <w:r>
        <w:t>L'arrêt entrepris constitue une décision finale ( art. 90 LTF ) rendue en matière civile ( art. 72 al. 1 LTF ) par une autorité cantonale de dernière instance ( art. 75 al. 1 LTF ), dans une affaire pécuniaire dont la valeur litigieuse atteint 30'000 fr. (art. 51 al. 1 let. a et al. 4, 74 al. 1 let. b LTF). Le recours a par ailleurs été interjeté dans le délai ( art. 46 al. 1 let . c, 100 al. 1 LTF) et la forme ( art. 42 LTF ) prévus par la loi, par une partie qui a pris part à la procédure devant l'autorité précédente et qui justifie d'un intérêt à la modification ou à l'annulation de la décision attaquée ( art. 76 al. 1 LTF ). Il y a donc en principe lieu d'entrer en matière.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Il ne connaît de la violation de droits fondamentaux ou du droit cantonal que si ce grief a été dûment invoqué et motivé par le recourant ( art. 106 al. 2 LTF ), c'est-à-dire s'il a été expressément soulevé et exposé de manière claire et détaillée ( ATF 137 II 305 consid. 3.3; 134 II 349 consid. 3). Le Tribunal fédéral n'entre pas en matière sur les critiques de nature appellatoire ( ATF 133 II 396 consid. 3.1).</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135 III 127 consid. 1.5 et 397 consid. 1.5)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133 III 462 consid. 2.4; 133 IV 150 consid. 1.3). Il ne peut donc se borner à opposer ses propres allégations ou sa propre appréciation des preuves aux constatations litigieuses mais doit indiquer, de façon précise, en quoi ces constatations sont contraires au droit ou entachées d'une erreur indiscutable. Une critique qui ne satisfait pas à cette exigence est irrecevable ( ATF 136 II 489 consid. 2.8; 133 II 249 consid. 1.4.3). Les faits nouveaux et les preuves nouvelles sont exclus, à moins de résulter de la décision de l'autorité précédente ( art. 99 al. 1 LTF ).</w:t>
      </w:r>
    </w:p>
    <w:p>
      <w:r>
        <w:rPr>
          <w:b/>
        </w:rPr>
        <w:t>E. 2</w:t>
      </w:r>
    </w:p>
    <w:p>
      <w:r>
        <w:t>Le recourant se plaint de la violation de son droit d'être entendu ( art. 29 al. 2 Cst. ) sous l'angle du droit à obtenir une décision motivée. Il soutient qu'on ne peut comprendre l'analyse de la cour cantonale, qui a estimé que le mariage avait eu un impact décisif sur la situation financière de l'intimée sans se demander si, en l'absence de cette union, celle-ci aurait été à même d'entreprendre une formation. Le recourant affirme en outre être dans l'incapacité totale de comprendre le raisonnement de l'autorité cantonale concernant le montant et la durée de la contribution d'entretien.</w:t>
      </w:r>
    </w:p>
    <w:p>
      <w:r>
        <w:rPr>
          <w:b/>
        </w:rPr>
        <w:t>E. 2.1</w:t>
      </w:r>
    </w:p>
    <w:p>
      <w:r>
        <w:t>Le Tribunal fédéral a déduit du droit d'être entendu, consacré par l' art. 29 al. 2 Cst. , le devoir pour le juge de motiver sa décision afin que le justiciable puisse en saisir la portée et, le cas échéant, l'attaquer en connaissance de cause, et que l'autorité de recours puisse exercer son contrôle;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136 I 229 consid. 5.2; 136 V 351 consid. 4.2). Le droit à une décision motivée participant de la nature formelle du droit d'être entendu ( ATF 127 V 431 consid. 3d/aa; 104 Ia 201 consid. 5g), ce moyen doit être examiné en premier lieu ( ATF 135 I 279 consid. 2.6.1; 124 I 49 consid. 1).</w:t>
      </w:r>
    </w:p>
    <w:p>
      <w:r>
        <w:rPr>
          <w:b/>
        </w:rPr>
        <w:t>E. 2.2</w:t>
      </w:r>
    </w:p>
    <w:p>
      <w:r>
        <w:t>L'autorité précédente s'est conformée aux exigences posées par la jurisprudence; elle a dûment exposé les principes juridiques applicables et les motifs à l'appui de sa décision. En effet, après avoir exposé dans le détail la situation financière des parties, elle a constaté que l'épouse, dont les charges s'élevaient à 2'330 fr. 50, ne disposait que d'une prestation d'aide sociale de 2'653 fr. 60, par nature subsidiaire aux obligations d'entretien du droit de la famille, tandis que le mari bénéficiait pour lui et ses enfants d'un solde disponible de 1'308 fr. 40. Tenant compte non seulement de la différence de ressources entre les parties, mais aussi de l'absence d'avoirs de prévoyance professionnelle de l'épouse - hormis l'indemnité équitable qui lui sera allouée en application de l' art. 124 CC -, de son analphabétisme, de son absence de formation professionnelle, du fait que durant le mariage, elle avait toujours voué ses soins à l'éducation des enfants et à la tenue du ménage, ainsi que de ses chances de réinsertion professionnelle relativement faibles, l'autorité cantonale a considéré, en équité, qu'il se justifiait d'allouer à celle-ci une contribution d'entretien d'un montant de 500 fr. par mois jusqu'à ce qu'elle soit à la retraite. Une telle motivation apparaît suffisante au regard des exigences qui découlent de l' art. 29 al. 2 Cst. ; il ressort au demeurant de l'argumentation du recourant fondée sur la violation de l' art. 125 CC (cf. infra, consid. 3) qu'il a compris le sens et la portée de l'arrêt déféré ( ATF 114 Ia 233 consid. 2d).</w:t>
      </w:r>
    </w:p>
    <w:p>
      <w:r>
        <w:rPr>
          <w:b/>
        </w:rPr>
        <w:t>E. 3</w:t>
      </w:r>
    </w:p>
    <w:p>
      <w:r>
        <w:t>Le recourant reproche en outre à l'autorité cantonale d'avoir enfreint l' art. 125 CC . Il conteste le principe et, subsidiairement, la durée de la contribution d'entretien allouée à l'intimée.</w:t>
      </w:r>
    </w:p>
    <w:p>
      <w:r>
        <w:rPr>
          <w:b/>
        </w:rPr>
        <w:t>E. 3.1.1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et les arrêts cités; arrêt 5A_352/2011 du 17 février 2012 consid. 7.2.2).</w:t>
      </w:r>
    </w:p>
    <w:p>
      <w:r>
        <w:rPr>
          <w:b/>
        </w:rPr>
        <w:t>E. 3.1.2</w:t>
      </w:r>
    </w:p>
    <w:p>
      <w:r>
        <w:t>Une contribution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 ATF 135 III 59 consid. 4.1; 134 III 145 consid. 4, 577; 135 II 59 consid 4.1; 137 III 102 consid. 4.1.2). Selon la jurisprudence,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135 III 59 consid. 4.1); une position de confiance digne de protection créée par le mariage peut toutefois être retenue pour d'autres motifs également.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ce d'autant plus que l' art. 125 al. 2 ch. 4 CC fait expressément mention de l'état de santé des époux dans les critères qu'il faut prendre en considération pour déterminer si une contribution d'entretien se justifie (arrêt 5A_767/2011 du 1er juin 2012 consid. 5.2.2-5.3 et la jurisprudence citée).</w:t>
      </w:r>
    </w:p>
    <w:p>
      <w:r>
        <w:rPr>
          <w:b/>
        </w:rPr>
        <w:t>E. 3.1.3</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Savoir si l'on peut raisonnablement exiger du conjoint concerné l'exercice d'une activité lucrative ou une augmentation de celle-ci, eu égard notamment à sa formation, à son âge et à son état de santé, est une question de droit; déterminer quel revenu cette personne a la possibilité effective de réaliser est en revanche une question de fait ( ATF 137 III 118 consid. 2.3-3.2; 128 III 4 consid. 4c/bb; 126 III 10 consid. 2b).</w:t>
      </w:r>
    </w:p>
    <w:p>
      <w:r>
        <w:rPr>
          <w:b/>
        </w:rPr>
        <w:t>E. 3.2.1</w:t>
      </w:r>
    </w:p>
    <w:p>
      <w:r>
        <w:t>Il ressort de l'arrêt entrepris que l'épouse ne dispose pas de ressources financières suffisantes pour couvrir ses charges minimales, qui s'élèvent au total à 2'330 fr. 50, dès lors qu'elle ne bénéficie actuellement que d'une prestation d'aide sociale de 2'653 fr. 60, laquelle est, par nature, subsidiaire aux obligations d'entretien du droit de la famille. Les revenus du mari comprennent sa rente AI, de 1'917 fr., et sa rente du 2e pilier, de 2'420 fr. Ils s'élèvent ainsi à 4'337 fr., pour des charges de 3'028 fr. 60. Le coût d'entretien des deux enfants mineurs étant entièrement couvert par les deux rentes AI pour enfant et les allocations familiales versées au mari, titulaire de l'autorité parentale et du droit de garde, le solde disponible de celui-ci est donc de 1'308 fr. 40 (4'337 fr. - 3'028 fr. 60). Compte tenu de la différence de revenus des conjoints, de l'absence d'avoir de prévoyance professionnelle de l'épouse - hormis la rente viagère de 100 fr. par mois au titre d'indemnité équitable selon l' art. 124 CC - et eu égard au fait qu'elle est analphabète, ne bénéficie d'aucune formation professionnelle et a toujours voué ses soins au ménage ainsi qu'à l'éducation des enfants pendant la vie commune, qui a duré environ vingt ans, ainsi que des chances de réinsertion professionnelle relativement faibles de l'intéressée, l'autorité cantonale considère qu'il se justifie de condamner le mari à verser à l'épouse une contribution d'entretien après divorce d'un montant de 500 fr. par mois jusqu'à ce que celle-ci atteigne l'âge de la retraite.</w:t>
      </w:r>
    </w:p>
    <w:p>
      <w:r>
        <w:rPr>
          <w:b/>
        </w:rPr>
        <w:t>E. 3.2.2</w:t>
      </w:r>
    </w:p>
    <w:p>
      <w:r>
        <w:t>Contrairement à ce que laisse entendre le recourant, le mariage doit être considéré comme ayant eu une influence concrète sur la situation de l'intimée, compte tenu non seulement de sa durée, mais aussi de la naissance de trois enfants communs (cf. supra, consid. 3.1.2). Selon le recourant, il est établi par pièce que l'intimée souffre d'un problème congénital, de sorte qu'elle n'a jamais été scolarisée, qu'elle a commencé à travailler très jeune, soit plusieurs années avant le mariage, en faisant des ménages et d'autres travaux de nettoyage et que, par conséquent, elle n'aurait de toute manière pas eu la possibilité d'entreprendre une formation professionnelle. Cet argument n'apparaît toutefois pas décisif. En effet, le mari ne pouvait ignorer l'analphabétisme de l'épouse au moment du mariage. De plus, durant près de vingt ans, il l'a laissée se consacrer à la tenue du ménage et à l'éducation des enfants. De toute évidence, cette situation a pu faire naître chez l'intimée une confiance fondée et digne de protection dans le fait que son époux continuerait de lui apporter son soutien, eu égard notamment à son absence de scolarisation. Le droit à une contribution d'entretien pour l'épouse doit par conséquent être admis dans son principe. Le recourant reproche par ailleurs à tort à l'autorité cantonale de n'avoir pas déterminé si un revenu hypothétique pouvait être imputé à l'épouse. En particulier, la constatation du Tribunal tutélaire, mentionnée dans l'arrêt attaqué, selon laquelle l'état de santé de l'intimée se serait nettement amélioré, celle-ci ne souffrant plus de dépression, n'apparaît pas décisive: dès lors qu'il est établi qu'elle est analphabète, n'a aucune formation professionnelle et s'est consacrée, durant la vie commune, à la tenue du ménage et à l'éducation des enfants, l'autorité cantonale ne saurait se voir reprocher d'avoir considéré que ses chances de réinsertion professionnelle étaient faibles. De même, il n'est pas déterminant que, selon l'arrêt entrepris, l'intimée soit à la recherche d'un emploi à temps partiel, bien qu'il ne soit pas établi que sa capacité de travail soit toujours réduite à 50%: le recourant fait en effet valoir qu'elle attend un enfant, ce que l'intéressée admet dans son mémoire de réponse. Dans ces conditions, il n'apparaît pas contraire au droit fédéral de considérer qu'on ne peut raisonnablement exiger de l'épouse qu'elle réalise un revenu hypothétique, fût-ce en exerçant une activité lucrative non-qualifiée à mi-temps. En outre, dans la mesure où le recourant affirme que l'intimée vit en concubinage avec le futur père, qui serait à même de l'aider financièrement si nécessaire, son allégation ne repose sur aucun commencement de preuve et ne peut dès lors être prise en considération. Vu les faits constatés, le concubinage ne serait de toute manière pas qualifié au sens de la jurisprudence (soit d'une durée d'au moins cinq ans au moment de l'ouverture de l'action), de sorte qu'on ne saurait présumer en fait que l'épouse en tirerait, le cas échéant, des avantages comparables à ceux du mariage ( ATF 109 II 188 ; arrêt 5A_321/2008 du 7 juillet 2008 consid. 3.1 et les références). Au demeurant, le recourant dispose d'un solde mensuel de 1'308 fr. 40, de sorte que le principe selon lequel le minimum vital du conjoint débirentier doit être préservé ( ATF 135 III 66 consid. 2 et les arrêts cités) n'apparaît pas violé. Quant à la durée de la contribution d'entretien, le recourant prétend subsidiairement qu'elle devrait être limitée au 31 décembre 2013, l'intimée ayant d'ores et déjà bénéficié de trois ans pour accéder à son autonomie financière: vu ce qui précède, cet argument ne permet pas de considérer que l'autorité cantonale aurait, à cet égard, violé le droit fédéral ou abusé du large pouvoir d'appréciation dont elle dispose ( art. 4 CC ; ATF 137 III 102 consid. 4.2.2.2; 134 III 577 consid. 4).</w:t>
      </w:r>
    </w:p>
    <w:p>
      <w:r>
        <w:rPr>
          <w:b/>
        </w:rPr>
        <w:t>E. 4</w:t>
      </w:r>
    </w:p>
    <w:p>
      <w:r>
        <w:t>En conclusion, le recours se révèle mal fondé et ne peut donc être que rejeté, dans la mesure de sa recevabilité. Vu cette issue, prévisible, de la procédure, la requête d'assistance judiciaire du recourant ne saurait être agréée ( art. 64 al. 1 LTF ). Celui-ci supportera dès lors les frais judiciaires ( art. 66 al. 1 LTF ) et versera en outre des dépens à l'intimée ( art. 68 al. 1 et 2 LTF ), dont la requête d'assistance judiciaire devient ainsi, en principe, sans objet. Il convient néanmoins de prévoir l'indemnisation de son conseil par la Caisse du Tribunal fédéral, pour le cas où ces dépens ne pourraient être recouvrés. L'intimée est toutefois rendue attentive au fait qu'elle devra alors rembourser la caisse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