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909/2019 vom 19. November 2019</w:t>
      </w:r>
    </w:p>
    <w:p>
      <w:r>
        <w:t>Bundesgericht, 2019-11-19, DE</w:t>
      </w:r>
    </w:p>
    <w:p>
      <w:r>
        <w:rPr>
          <w:b/>
        </w:rPr>
        <w:t xml:space="preserve">Quelle: </w:t>
      </w:r>
      <w:r>
        <w:t>https://mcp.opencaselaw.ch/entscheid/bger_5A_909_2019</w:t>
      </w:r>
    </w:p>
    <w:p>
      <w:r>
        <w:t>FR: TF 5A 909/2019 du 19 novembre 2019</w:t>
      </w:r>
    </w:p>
    <w:p>
      <w:r>
        <w:t>IT: TF 5A 909/2019 del 19 novembre 2019</w:t>
      </w:r>
    </w:p>
    <w:p>
      <w:pPr>
        <w:pStyle w:val="Heading2"/>
      </w:pPr>
      <w:r>
        <w:t>Regeste</w:t>
      </w:r>
    </w:p>
    <w:p>
      <w:r>
        <w:t>Anordnung einer ambulanten Massnahme | Familienrecht</w:t>
      </w:r>
    </w:p>
    <w:p>
      <w:pPr>
        <w:pStyle w:val="Heading2"/>
      </w:pPr>
      <w:r>
        <w:t>Erwägungen</w:t>
      </w:r>
    </w:p>
    <w:p>
      <w:r>
        <w:rPr>
          <w:b/>
        </w:rPr>
        <w:t>E. 1</w:t>
      </w:r>
    </w:p>
    <w:p>
      <w:r>
        <w:t>Die Beschwerde scheitert in doppelter Hinsicht an den Begründungsvoraussetzungen: Zum einen müsste die Beschwerdeführerin darlegen, inwiefern der angefochtene Entscheid Recht verletzt ( Art. 42 Abs. 2 BGG ), was eine Auseinandersetzung mit der Begründung des angefochtenen Entscheides erfordert ( BGE 140 III 115 E. 2 S. 116). Sie müsste sich deshalb mit den Nichteintretenserwägungen befassen und sich wenigstens ansatzweise dazu äussern, inwiefern mit dem Nichteintretensentscheid Recht verletzt worden sein soll. Zum anderen ist zu beachten, dass der Bundesgesetzgeber die ambulanten Zwangsmassnahmen nicht selbst regelt, sondern die Kantone mit einem zuteilenden Vorbehalt in Art. 437 Abs. 2 ZGB zu entsprechender Legiferierung ermächtigt. Der Kanton Bern hat von dieser Gesetzgebungskompetenz Gebrauch gemacht. Die Massnahme ist gemäss dem angefochtenen Entscheid explizit auf die kantonale Rechtsgrundlage von Art. 33 Abs. 1 lit. c und d KESG/BE abgestützt. Die Verletzung kantonalen Rechts kann das Bundesgericht indes nur im Zusammenhang mit Verfassungsrügen prüfen, wobei die Rüge im Vordergrund steht, dass das kantonale Recht willkürlich angewandt worden sei ( BGE 139 III 225 E. 2.3 S. 231; 139 III 252 E. 1.4 S. 254; 142 II 369 E. 2.1 S. 372). In der Beschwerde werden keine verfassungsmässigen Rechte als verletzt angerufen; insbesondere erfolgt keinerlei Darlegung, dass und inwiefern das kantonale Recht willkürlich angewandt worden sein soll.</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Die Beschwerdeführerin gelangt im Kontext mit der Erziehungsbeistandschaft in diesem Jahr bereits zum dritten Mal an das Bundesgericht, weshalb im Unterschied zum ersten Mal (5A_402/2019) und analog zur zweiten Beschwerde (5A_528/2019) auch vorliegend Gerichtskosten zu erheben sind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