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5A_909/2017 vom 21. November 2017</w:t>
      </w:r>
    </w:p>
    <w:p>
      <w:r>
        <w:t>Bundesgericht, 2017-11-21, FR</w:t>
      </w:r>
    </w:p>
    <w:p>
      <w:r>
        <w:rPr>
          <w:b/>
        </w:rPr>
        <w:t xml:space="preserve">Quelle: </w:t>
      </w:r>
      <w:r>
        <w:t>https://mcp.opencaselaw.ch/entscheid/bger_5A_909_2017</w:t>
      </w:r>
    </w:p>
    <w:p>
      <w:r>
        <w:t>FR: TF 5A_909/2017 du 21 novembre 2017</w:t>
      </w:r>
    </w:p>
    <w:p>
      <w:r>
        <w:t>IT: TF 5A_909/2017 del 21 novembre 2017</w:t>
      </w:r>
    </w:p>
    <w:p>
      <w:pPr>
        <w:pStyle w:val="Heading2"/>
      </w:pPr>
      <w:r>
        <w:t>Erwägungen</w:t>
      </w:r>
    </w:p>
    <w:p>
      <w:r>
        <w:rPr>
          <w:b/>
        </w:rPr>
        <w:t>E. 1</w:t>
      </w:r>
    </w:p>
    <w:p>
      <w:r>
        <w:t>Par arrêt du 28 septembre 2017, la Chambre civile de la Cour de justice du canton de Genève a déclaré recevable l'appel interjeté le 19 août 2016 par A.A.________ à l'encontre du jugement de mesures protectrices de l'union conjugale prononcé le 8 août 2016 par le Tribunal de première instance, annulé le chiffre 4 du dispositif dudit jugement de mesures protectrices de l'union conjugale et, statuant à nouveau, réservé à A.A.________ un droit de visite à raison de quatre heures par semaine dans un Point rencontre.</w:t>
      </w:r>
    </w:p>
    <w:p>
      <w:r>
        <w:rPr>
          <w:b/>
        </w:rPr>
        <w:t>E. 2</w:t>
      </w:r>
    </w:p>
    <w:p>
      <w:r>
        <w:t>Par acte du 13 novembre 2017, A.A.________ exerce un recours en matière civile devant le Tribunal fédéral. Au préalable, il sollicite d'être mis au bénéfice de l'assistance judiciaire pour la procédure fédérale et requiert l'effet suspensif à son recours.</w:t>
      </w:r>
    </w:p>
    <w:p>
      <w:r>
        <w:rPr>
          <w:b/>
        </w:rPr>
        <w:t>E. 3</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En l'occurrence, le recourant affirme que l'autorité précédente a versé dans l'arbitraire ( art. 9 Cst. ) dans l'établissement des faits et l'appréciation des preuves et se plaint de formalisme excessif ( art. 29 al. 1 Cst. ). Dans un long mémoire, le recourant discute les faits et présente sa propre vision du litige qui oppose les parties, singulièrement il soutient avec véhémence que ses enfants souffriraient de maltraitances de la part de leur mère. Ce faisant, le recourant ne démontre pas, avec précision et de manière détaillée, en quoi la motivation de l'arrêt attaqué violerait la Constitution ou l'un de ses droits fondamentaux. Le recours ne satisfait par conséquent pas aux exigences accrues de motivation de l' art. 106 al. 2 LTF , par renvoi de l' art. 98 LTF , et doit donc être déclaré irrecevable.</w:t>
      </w:r>
    </w:p>
    <w:p>
      <w:r>
        <w:t>Le recours, manifestement irrecevable doit être traité selon la procédure simplifiée prévue à l' art. 108 al. 1 let. b LTF , ce qui rend sans objet sa demande d'effet suspensif.</w:t>
      </w:r>
    </w:p>
    <w:p>
      <w:r>
        <w:rPr>
          <w:b/>
        </w:rPr>
        <w:t>E. 4</w:t>
      </w:r>
    </w:p>
    <w:p>
      <w:r>
        <w:t>Faute de chances de succès du recours, la requête d'assistance judiciaire implicite déposée par le recourant ne saurait être agréée ( art. 64 al. 1 LTF ). Les frais judiciaires, arrêtés à 500 fr., sont par conséquent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