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5A_909/2012 vom 19. Februar 2013</w:t>
      </w:r>
    </w:p>
    <w:p>
      <w:r>
        <w:t>Bundesgericht, 2013-02-19, DE</w:t>
      </w:r>
    </w:p>
    <w:p>
      <w:r>
        <w:rPr>
          <w:b/>
        </w:rPr>
        <w:t xml:space="preserve">Quelle: </w:t>
      </w:r>
      <w:r>
        <w:t>https://mcp.opencaselaw.ch/entscheid/bger_5A_909_2012</w:t>
      </w:r>
    </w:p>
    <w:p>
      <w:r>
        <w:t>FR: TF 5A_909/2012 du 19 février 2013</w:t>
      </w:r>
    </w:p>
    <w:p>
      <w:r>
        <w:t>IT: TF 5A_909/2012 del 19 febbraio 2013</w:t>
      </w:r>
    </w:p>
    <w:p>
      <w:pPr>
        <w:pStyle w:val="Heading2"/>
      </w:pPr>
      <w:r>
        <w:t>Erwägungen</w:t>
      </w:r>
    </w:p>
    <w:p>
      <w:r>
        <w:rPr>
          <w:b/>
        </w:rPr>
        <w:t>E. 1.1</w:t>
      </w:r>
    </w:p>
    <w:p>
      <w:r>
        <w:t>Entscheide kantonaler Aufsichtsbehörden in Schuldbetreibungs- und Konkurssachen unterliegen unabhängig eines Streitwertes der Beschwerde in Zivilsachen ( Art.72 Abs. 2 lit. a, Art. 74 Abs. 2 lit. c BGG ). Als Betreibender steht dem Beschwerdeführer ein schutzwürdiges Interesse an der Anfechtung des obergerichtlichen Entscheides zu ( Art. 76 Abs. 1 lit. b BGG ; Urteil 5A_732/2009 vom 4. Februar 2010 E. 1. 2, nicht publiziert in BGE 136 III 155 ).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w:t>
      </w:r>
    </w:p>
    <w:p>
      <w:r>
        <w:t>Anlass zur vorliegenden Beschwerde gibt die Kostenrechnung für die Zustellung eines Zahlungsbefehls.</w:t>
      </w:r>
    </w:p>
    <w:p>
      <w:r>
        <w:rPr>
          <w:b/>
        </w:rPr>
        <w:t>E. 2.1</w:t>
      </w:r>
    </w:p>
    <w:p>
      <w:r>
        <w:t>Die obere kantonale Aufsichtsbehörde hat festgestellt, dass das Betreibungsamt am 14. Mai 2012 einen ersten und am 16. Mai 2012 einen zweiten Versuch unternommen hat, dem Betriebenen den Zahlungsbefehl zuzustellen. Beim zweiten Versuch habe das Betreibungsamt diesem eine Abholungseinladung hinterlassen, welcher er gefolgt sei.</w:t>
      </w:r>
    </w:p>
    <w:p>
      <w:r>
        <w:rPr>
          <w:b/>
        </w:rPr>
        <w:t>E. 2.2</w:t>
      </w:r>
    </w:p>
    <w:p>
      <w:r>
        <w:t>Die Zustellung des Zahlungsbefehls erfolgt gemäss Art. 72 Abs. 1 SchKG durch den Betreibungsbeamten, einen Angestellten des Amtes oder durch die Post. Dem Betriebenen steht - ungeachtet einer inzwischen verbreiteten Praxis - kein Anspruch auf Erhalt einer vorgängigen Abholungseinladung für einen Zahlungsbefehl zu, was das Bundesgericht bereits verschiedentlich festgehalten hat. Ebenso wenig besteht eine Pflicht des Betriebenen, den Zahlungsbefehl auf dem Amt entgegen zu nehmen ( BGE 138 III 25 E. 2.1 S. 26; 136 III 155 E. 3.1 S. 156, je mit Hinweisen). Der Versuch des Betreibungsamtes, den Zahlungsbefehl vorab postalisch zuzustellen, ist bundesrechtlich nicht zu beanstanden. Allerdings kann dem Beschwerdeführer nicht gefolgt werden, wenn er in jedem Fall auf einer Abholungseinladung besteht. Der Vorinstanz ist zuzustimmen, wenn sie ausführt, dass das Betreibungsamt entscheide, in welcher Weise der Zahlungsbefehl zuzustellen sei (vgl. GILLIÉRON, Commentaire de la loi fédérale sur la poursuite pour dettes et la faillite, Bd. I, 1999, N. 13 zu Art. 72 SchKG ). Sie hat überdies zutreffend auf die Pflicht des Betreibungsamtes hingewiesen, eine Amtshandlung beförderlich vorzunehmen und dabei auch die Interessen des Betreibenden zu wahren (vgl. WÜTHRICH/SCHOCH, in: Basler Kommentar, Bundesgesetz über Schuldbetreibung und Konkurs, 2. Aufl. 2010, N. 3 zu Art. 71 SchKG ).</w:t>
      </w:r>
    </w:p>
    <w:p>
      <w:r>
        <w:rPr>
          <w:b/>
        </w:rPr>
        <w:t>E. 2.3</w:t>
      </w:r>
    </w:p>
    <w:p>
      <w:r>
        <w:t>Soweit der Beschwerdeführer - wie bereits im kantonalen Verfahren - bestreitet, dass im vorliegenden Fall zwei Zustellungsversuche erfolgt sind, stellt er den vorinstanzlichen Sachverhalt in Frage. Er tut dies ohne jegliche Begründung und in klarem Widerspruch zu den Vermerken auf dem Doppel des Zahlungsbefehls. Dieser Beleg findet sich in den vom Betreibungsamt eingereichten Akten und stellt - anders als der Beschwerdeführer meint - kein unzulässiges Novum dar. Zudem hatte er auf die einlässliche Vernehmlassung des Betreibungsamtes zur Kostenrechnung unaufgefordert geantwortet. Es bleibt dabei, dass der Betriebene der Abholungseinladung Folge leistete, welche ihm anlässlich des zweiten erfolglosen Zustellungsversuchs überlassen wurde.</w:t>
      </w:r>
    </w:p>
    <w:p>
      <w:r>
        <w:rPr>
          <w:b/>
        </w:rPr>
        <w:t>E. 2.4</w:t>
      </w:r>
    </w:p>
    <w:p>
      <w:r>
        <w:t>Das Betreibungsamt erhob für den Erlass, die doppelte Ausfertigung, die Eintragung und die Zustellung des Zahlungsbefehls eine Gebühr von Fr. 90.--. Dieser Ansatz bewegt sich aufgrund der in Betreibung gesetzten Forderung von Fr. 50'000.-- im in Art. 16 Abs. 1 GebV SchKG festgelegten Rahmen. Zwar bestreitet der Beschwerdeführer die Gebührenrechnung von Fr. 110.-- insgesamt, ohne jedoch auf den Betrag von Fr. 90.-- einzugehen. Auch zu den weiteren Positionen der Kostenrechnung, welche ihm die Vorinstanz ausführlich erläutert hat, nimmt er nicht im Einzelnen Stellung. Stattdessen besteht er einzig darauf, dass in jedem Fall der Zustellung des Zahlungsbefehls eine Abholungseinladung vorangehen muss, womit für die in Rechnung gestellten Kosten keine Grundlage bestehe. Mit diesem Vorbringen kommt er seiner Begründungspflicht nicht nach (E. 1.2).</w:t>
      </w:r>
    </w:p>
    <w:p>
      <w:r>
        <w:rPr>
          <w:b/>
        </w:rPr>
        <w:t>E. 3</w:t>
      </w:r>
    </w:p>
    <w:p>
      <w:r>
        <w:t>Nach dem Gesagten ist der Beschwerde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