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5A_908/2021 vom 4. November 2021</w:t>
      </w:r>
    </w:p>
    <w:p>
      <w:r>
        <w:t>Bundesgericht, 2021-11-04, FR</w:t>
      </w:r>
    </w:p>
    <w:p>
      <w:r>
        <w:rPr>
          <w:b/>
        </w:rPr>
        <w:t xml:space="preserve">Quelle: </w:t>
      </w:r>
      <w:r>
        <w:t>https://mcp.opencaselaw.ch/entscheid/bger_5A_908_2021</w:t>
      </w:r>
    </w:p>
    <w:p>
      <w:r>
        <w:t>FR: TF 5A_908/2021 du 4 novembre 2021</w:t>
      </w:r>
    </w:p>
    <w:p>
      <w:r>
        <w:t>IT: TF 5A_908/2021 del 4 novembre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Statuant le 12 octobre 2021 sur la requête de B.________Ltd, le Président du Tribunal d'arrondissement de l'Est vaudois a révoqué l'ajournement de faillite octroyé à A.________SA et prononcé sa faillite, avec effet au 11 octobre 2021 à 12h00.</w:t>
      </w:r>
    </w:p>
    <w:p>
      <w:r>
        <w:t>La débitrice a recouru contre ce jugement, sollicitant l'octroi de l'effet suspensif. Par ordonnance du 27 octobre 2021, la Vice-présidente de la Cour des poursuites et faillites du Tribunal cantonal du canton de Vaud a rejeté cette requête.</w:t>
      </w:r>
    </w:p>
    <w:p>
      <w:r>
        <w:rPr>
          <w:b/>
        </w:rPr>
        <w:t>E. 2</w:t>
      </w:r>
    </w:p>
    <w:p>
      <w:r>
        <w:t>Par acte expédié le 1er novembre 2021, la débitrice exerce un recours en matière civile au Tribunal fédéral à l'encontre de cette décision; elle conclut à l'admission de sa requête d'effet suspensif.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Le recours a été interjeté en temps utile ( art. 100 al. 1 LTF ) contre une décision incidente ( art. 93 al. 1 LTF ), susceptible de recours en matière civile ( art. 72 al. 2 let. a LTF ), rendue par une juridiction cantonale de dernière instance dans le cadre d'une procédure de recours ( ATF 137 III 475 consid. 1). Il est ouvert sans égard à la valeur litigieuse ( art. 74 al. 2 let . d LTF; arrêt 5A_846/2019 du 4 décembre 2019 consid. 1.1). La débitrice, qui a participé à la procédure devant l'autorité précédente et a un intérêt digne de protection à l'annulation ou à la modification de la décision attaquée, a qualité pour recourir ( art. 76 al. 1 LTF ).</w:t>
      </w:r>
    </w:p>
    <w:p>
      <w:r>
        <w:t>En l'espèce, il n'y a pas lieu d'examiner si la décision attaquée cause un préjudice irréparable à la recourante (</w:t>
      </w:r>
    </w:p>
    <w:p>
      <w:r>
        <w:t>cf . sur cette notion: ATF 142 III 798 consid. 2.2 et les arrêts cités), le recours étant irrecevable pour un autre motif.</w:t>
      </w:r>
    </w:p>
    <w:p>
      <w:r>
        <w:rPr>
          <w:b/>
        </w:rPr>
        <w:t>E. 4</w:t>
      </w:r>
    </w:p>
    <w:p>
      <w:r>
        <w:t>Selon la jurisprudence constante, la décision statuant sur une requête d'effet suspensif est de nature provisionnelle au sens de l' art. 98 LTF ( ATF 137 III 475 consid. 2; 134 II 192 consid. 1.5; arrêt 5A_781/2021 du 20 octobre 2021 consid. 1.2, avec d'autres citations).</w:t>
      </w:r>
    </w:p>
    <w:p>
      <w:r>
        <w:t>La recourante, qui méconnaît manifestement la nature de la décision attaquée, se livre à une critique appellatoire des motifs de la magistrate cantonale, lui reprochant en substance d'avoir abusé de son "</w:t>
      </w:r>
    </w:p>
    <w:p>
      <w:r>
        <w:t>pouvoir d'appréciation " dans la "</w:t>
      </w:r>
    </w:p>
    <w:p>
      <w:r>
        <w:t>pesée des intérêts en présence " ( ATF 135 III 232 consid. 1.2; 134 II 349 consid. 3 et les citations). Il ne suffit pas d'invoquer l' "</w:t>
      </w:r>
    </w:p>
    <w:p>
      <w:r>
        <w:t>arbitraire " - au demeurant à une seule occasion - pour satisfaire aux exigences posées à l' art. 106 al. 2 LTF ; encore faut-il qu'il ressorte de l'argumentation de la partie recourante qu'elle entend bien se plaindre d'une violation de ses droits constitutionnels; or, une telle condition n'est nullement réalisée en l'occurrence.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let. b LTF ), avec suite de frais à la charge de la recourante qui succombe ( art. 66 al. 1 LTF ). Cela étant, la requête d'effet suspensif est devenue sans objet.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