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907/2017 vom 4. April 2018</w:t>
      </w:r>
    </w:p>
    <w:p>
      <w:r>
        <w:t>Bundesgericht, 2018-04-04, FR</w:t>
      </w:r>
    </w:p>
    <w:p>
      <w:r>
        <w:rPr>
          <w:b/>
        </w:rPr>
        <w:t xml:space="preserve">Quelle: </w:t>
      </w:r>
      <w:r>
        <w:t>https://mcp.opencaselaw.ch/entscheid/bger_5A_907_2017</w:t>
      </w:r>
    </w:p>
    <w:p>
      <w:r>
        <w:t>FR: TF 5A 907/2017 du 4 avril 2018</w:t>
      </w:r>
    </w:p>
    <w:p>
      <w:r>
        <w:t>IT: TF 5A 907/2017 del 4 aprile 2018</w:t>
      </w:r>
    </w:p>
    <w:p>
      <w:pPr>
        <w:pStyle w:val="Heading2"/>
      </w:pPr>
      <w:r>
        <w:t>Regeste</w:t>
      </w:r>
    </w:p>
    <w:p>
      <w:r>
        <w:t>convention d'arbitrage (art. 61 CPC) | Droits réels</w:t>
      </w:r>
    </w:p>
    <w:p>
      <w:pPr>
        <w:pStyle w:val="Heading2"/>
      </w:pPr>
      <w:r>
        <w:t>Erwägungen</w:t>
      </w:r>
    </w:p>
    <w:p>
      <w:r>
        <w:rPr>
          <w:b/>
        </w:rPr>
        <w:t>E. 1.1</w:t>
      </w:r>
    </w:p>
    <w:p>
      <w:r>
        <w:t>Le recours est dirigé contre une décision finale ( art. 90 LTF ), prise en dernière instance cantonale et sur recours par un tribunal supérieur ( art. 75 LTF ), dans une contestation civile de nature pécuniaire, dont la cour cantonale a retenu que la valeur litigieuse atteignait 30'000 fr. ( art. 74 al. 1 let. b LTF ); il a par ailleurs été déposé à temps (art. 100 al. 1 et 46 al. 1 let. c LTF), par une partie qui a succombé dans ses conclusions devant l'instance précédente ( art. 76 LTF ), de sorte qu'il est recevable au regard de ces dispositions. Le recours constitutionnel subsidiaire est donc irrecevable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établis par l'autorité précédente ( art. 105 al. 1 LTF ); il tient compte des faits figurant dans le jugement de première instance dans la mesure où ils ont été repris au moins implicitement par l'arrêt attaqué (arrêt 4A_689/2015 du 16 juin 2016 consid. 2.2; sous l'OJ, ATF 129 IV 246 consid. 1). Conformément à ce principe, les faits résumés ci-dessus intègrent aussi des éléments figurant dans le jugement du Tribunal d'arrondissement. Cela étant, l'autorité de céans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L'autorité cantonale a confirmé une décision d'irrecevabilité prononcée en première instance. Dans une telle situation, si le présent recours est admis, le Tribunal fédéral peut certes réformer la décision quant à la recevabilité de l'action en revendication; en revanche, afin que la recourante ne soit pas privée d'un degré de juridiction, il ne peut pas statuer lui-même sur le fond de la cause (dans ce sens: cf. ATF 138 III 46 consid. 1.1). Il doit renvoyer la cause à l'autorité cantonale pour qu'elle décide, en faisant usage de son pouvoir d'appréciation, si elle entend statuer elle-même sur le fond de la cause ( art. 318 al. 1 let. b CPC ) ou renvoyer celle-ci au premier juge ( art. 318 al. 1 let . c CPC; arrêts 4A_460/2016 du 5 janvier 2017 consid. 1.3; 4A_103/2015 du 3 juillet 2015 consid. 3.2). Les conclusions de la recourante ne sont donc recevables que dans cette mesure. Par ailleurs, l'autorité cantonale a déclaré irrecevable l'appel en tant que celui-ci était dirigé contre C.________ &amp; Co. Elle a retenu que la recourante ne formulait aucune critique contre la motivation de la décision de première instance dans laquelle le tribunal avait considéré qu'il n'y avait pas de litispendance contre C.________ &amp; Co. La recourante ne formulant pas davantage de grief contre l'argumentation de l'autorité cantonale dans le présent recours, celui-ci est également irrecevable en tant que la recourante demande la réforme de la décision d'irrecevabilité contre cette intimée.</w:t>
      </w:r>
    </w:p>
    <w:p>
      <w:r>
        <w:rPr>
          <w:b/>
        </w:rPr>
        <w:t>E. 4.1</w:t>
      </w:r>
    </w:p>
    <w:p>
      <w:r>
        <w:t>L'autorité cantonale a tout d'abord retenu que le contrat de famille du 30 juillet 1976 incluait la société B.________ SA dans les entreprises familiales et que la formulation de la convention d'arbitrage à laquelle ce contrat renvoyait en son chiffre 7.8 était très large, englobant notamment les différends qui relevaient de sa propre interprétation. Précisant que seul l'objet et non la nature de l'action était décisif pour trancher de la recevabilité de celle-ci, elle a ensuite retenu que le litige portait sur le contenu de la cession de participations consécutivement à l'option du 9 juin 1978 en tant que, pour déterminer si la recourante était toujours propriétaire des actions revendiquées, il fallait déterminer l'objet des contrats de vente du 29 septembre 1978. Pour ce motif, elle a jugé que le conflit entre les parties relevait de la procédure arbitrale telle que prévue par convention du 30 juillet 1976. L'autorité cantonale a ensuite jugé que, en conséquence, elle n'avait pas à se prononcer non plus sur l'interprétation de la quittance pour solde de tout compte.</w:t>
      </w:r>
    </w:p>
    <w:p>
      <w:r>
        <w:rPr>
          <w:b/>
        </w:rPr>
        <w:t>E. 4.2</w:t>
      </w:r>
    </w:p>
    <w:p>
      <w:r>
        <w:t>Dans une première série de griefs ( art. 29 et 29a Cst. , 6 § 1 CEDH , 53 et 61 let. b CPC, 178 al. 2 LDIP et 18 CO), la recourante se plaint pêle-mêle tant de la constatation arbitraire des faits que de violation du droit. Elle critique l'application de la convention d'arbitrage au litige qui a conduit l'autorité cantonale à confirmer l'irrecevabilité de son action. Elle soutient qu'il est incontesté qu'elle a acquis les actions dont elle revendique la propriété lors du partage successoral, et non par contrat de vente, et que la seule question à résoudre est de savoir s'il existe un acte de disposition ultérieur ayant entraîné le transfert de la propriété. Elle allègue à cet égard qu'elle n'a nullement disposé des actions litigieuses, que les quatre contrats de vente du 29 septembre 1978 n'avaient pas pour objet les actions de la société B.________ SA et n'ont donc aucun lien avec le litige. Affirmant que la théorie de la double pertinence n'entre pas en ligne de compte lorsque la compétence d'un tribunal arbitral est contestée, elle reproche à l'autorité cantonale de n'avoir pas procédé d'office à un examen complet des contrats de vente litigieux. Dans une deuxième série de griefs ( art. 967 CO , 714 al. 1 et 684 CC), la recourante reproche à l'autorité cantonale d'avoir omis d'examiner si le processus de transfert de propriété des actions avait été respecté, tout en lui opposant également de s'être penchée sur la portée des contrats de vente du 29 septembre 1978. En invoquant ensuite les art. 178 al. 2 LDIP et 18 CO, la recourante fait grief à l'autorité cantonale d'avoir interprété de manière erronée le texte de la convention d'arbitrage. Reprenant son précédent propos, elle considère que cette convention ne porte que sur le contrat de famille dont le litige ne relève pas en raison de son caractère réel. Elle ajoute que l'autorité cantonale aurait dû dans tous les cas interpréter la clause d'arbitrage en défaveur des rédacteurs. En dernier lieu, la recourante invoque la violation de l' art. 59 al. 2 let . e CPC et se prévaut sans distinction de la constatation inexacte des faits en lien avec l'interprétation de la quittance pour solde de tout compte qui emporterait force de chose jugée sur la contestation.</w:t>
      </w:r>
    </w:p>
    <w:p>
      <w:r>
        <w:rPr>
          <w:b/>
        </w:rPr>
        <w:t>E. 5</w:t>
      </w:r>
    </w:p>
    <w:p>
      <w:r>
        <w:t>La question qui se pose est celle de savoir si la convention d'arbitrage du 30 juillet 1976 auquel le contrat de famille conclu le même jour renvoie s'applique au litige opposant les parties sur la propriété d'actions.</w:t>
      </w:r>
    </w:p>
    <w:p>
      <w:r>
        <w:rPr>
          <w:b/>
        </w:rPr>
        <w:t>E. 5.1</w:t>
      </w:r>
    </w:p>
    <w:p>
      <w:r>
        <w:t>Aux termes de l' art. 61 let. b CPC , lorsque les parties ont conclu une convention d'arbitrage portant sur un litige arbitrable, le tribunal saisi décline sa compétence, sauf [si] le tribunal constate que, manifestement, la convention d'arbitrage n'est pas valable ou ne peut pas être appliquée.</w:t>
      </w:r>
    </w:p>
    <w:p>
      <w:r>
        <w:rPr>
          <w:b/>
        </w:rPr>
        <w:t>E. 5.1.1</w:t>
      </w:r>
    </w:p>
    <w:p>
      <w:r>
        <w:t>Les éléments mentionnés par l'art. 61 ab initio CPC, soit une convention d'arbitrage portant sur un litige arbitrable, doivent être examinés, dans une première étape, avec pleine cognition. Ce n'est que, dans une seconde étape, qu'il faut examiner, selon l' art. 61 let. b CPC , si manifestement la convention n'est pas valable ou ne peut être appliquée. Le terme " manifestement " implique, contrairement à la cognition relative à la convention d'arbitrage et au litige arbitrable, que le tribunal ne procède qu'à un examen sommaire. Cela vaut non seulement lorsque l'existence ou la validité de la convention d'arbitrage sont litigieuses mais aussi, comme en l'occurrence, lorsqu'il s'agit de savoir si la prétention litigieuse est ou non couverte par cette convention, soit la portée matérielle de celle-ci ( ATF 140 III 367 consid. 2.2.3; 138 III 681 consid. 3.2 et 3.3).</w:t>
      </w:r>
    </w:p>
    <w:p>
      <w:r>
        <w:rPr>
          <w:b/>
        </w:rPr>
        <w:t>E. 5.1.2</w:t>
      </w:r>
    </w:p>
    <w:p>
      <w:r>
        <w:t>Par convention d'arbitrage, on entend l'accord par lequel deux ou plusieurs parties déterminées ou déterminables s'accordent pour soumettre obligatoirement un ou plusieurs litiges, existants ou futurs, à un tribunal arbitral, à l'exclusion de la juridiction étatique originellement compétente, selon une procédure directement ou indirectement définie. Ce qui est décisif est qu'elle exprime la volonté des parties de faire trancher obligatoirement certains litiges déterminés par un tribunal arbitral privé, à l'exclusion des juridictions étatiques. La volonté des parties de renoncer aux tribunaux étatiques doit résulter de manière claire et non équivoque de la convention des parties ( ATF 140 III 367 consid. 2.2.2). Est déterminante, en premier lieu, la volonté réelle et concordante des parties. Si celle-ci ne peut pas être établie, les déclarations des parties doivent être interprétées selon le principe de la confiance ( ATF 140 III 134 consid. 3.2 et les références). Le tribunal doit à cet égard s'en tenir aux expressions que celles-ci ont utilisées en vue de respecter les exigences de forme textuelles ( art. 358 CPC ; ATF 140 III 367 consid. 3.1). Supposé que l'application du principe de la confiance n'aboutisse pas à un résultat concluant, des moyens d'interprétation subsidiaires pourront être mis en oeuvre, telle la règle dite des clauses ambiguës en vertu de laquelle le contrat s'interprète, en cas de doute, en défaveur de son rédacteur (arrêt 4A_407/2017 du 20 novembre 2017 consid. 2.3.2.1 et les références).</w:t>
      </w:r>
    </w:p>
    <w:p>
      <w:r>
        <w:rPr>
          <w:b/>
        </w:rPr>
        <w:t>E. 5.1.3</w:t>
      </w:r>
    </w:p>
    <w:p>
      <w:r>
        <w:t>Lorsqu'une convention d'arbitrage est formulée de telle manière qu'elle couvre aussi les différends apparaissant " en rapport avec " le contrat, il faut en conclure selon la volonté présumée des parties que celles-ci entendaient soumettre à la compétence exclusive du tribunal arbitral toutes les prétentions qui résultent de l'état de fait régi par le contrat ou qui le touchent directement ( ATF 138 III 681 consid.4.4).</w:t>
      </w:r>
    </w:p>
    <w:p>
      <w:r>
        <w:rPr>
          <w:b/>
        </w:rPr>
        <w:t>E. 5.2</w:t>
      </w:r>
    </w:p>
    <w:p>
      <w:r>
        <w:t>En l'espèce, le litige entre les parties porte sur la question de savoir si celles-ci ont conclu, le 29 septembre 1978, un contrat de vente sur les actions de la société B.________ SA dont la recourante a hérité. Ce litige est donc en rapport avec le contrat de famille du 30 juillet 1976 et son avenant du 26 juillet 1977. Au vu du texte de la convention d'arbitrage du 30 juillet 1976 auquel l'autorité cantonale s'est tenue en procédant à son interprétation objective, méthode que la recourante ne conteste pas, ce litige entre à l'évidence dans le large champ d'application de cette convention dont la lettre est claire; ce résultat n'appelle pas la mise en oeuvre de moyens d'interprétation subsidiaires. C'est en effet le titre d'acquisition du transfert de propriété qui fait l'objet du conflit entre les parties. L'examen auquel l'autorité cantonale a procédé, étant rappelé que, sur les éléments constitutifs de la lettre b de l' art. 61 CPC , cet examen doit rester sommaire, ne prête pas flanc à la critique. Le propos de la recourante, qui soutient qu'aucun contrat ne porte sur les actions litigieuses, revient précisément à retenir l'application de la convention d'arbitrage aux questions qu'elle soulève. En tant qu'elle reproche à l'autorité cantonale de n'avoir pas examiné l'existence d'un tel contrat, elle attend manifestement d'elle d'examiner le fond du litige alors qu'elle a déclaré la demande irrecevable. A cet égard, il sied d'ajouter que, contrairement à ce que soutient la recourante, l'exclusion de la théorie de la double pertinence ne s'applique qu'au tribunal arbitral lui-même lorsque sa compétence est contestée devant lui, et non au tribunal étatique lorsqu'il examine s'il doit accepter sa compétence malgré l'existence d'une convention d'arbitrage au sens de l' art. 61 CPC ( ATF 131 III 153 consid. 5.1). Comme dit précédemment, cet examen des exceptions au déclinatoire en raison de la portée matérielle de la convention d'arbitrage est sommaire et il n'appartenait pas à l'autorité cantonale de procéder à une administration complète des preuves sur l'objet des contrats de vente du 29 septembre 1978 (cf. supra consid. 5.1.1). Les griefs de la recourante, pour autant que recevables au regard des exigences posées par le principe d'allégation s'agissant de ceux d'ordre constitutionnel (cf. supra consid. 2.1), doivent donc tous être rejetés. Le dernier grief de la recourante, portant sur l'interprétation de la quittance pour solde de tout compte exprimée dans la sentence arbitrale du 22 mars 2011, devient sans objet au vu du sort réservé aux premiers qui confirme l'irrecevabilité de la demande devant les autorités judiciaires étatiques ( art. 61 CPC ).</w:t>
      </w:r>
    </w:p>
    <w:p>
      <w:r>
        <w:rPr>
          <w:b/>
        </w:rPr>
        <w:t>E. 6</w:t>
      </w:r>
    </w:p>
    <w:p>
      <w:r>
        <w:t>En définitive, le recours constitutionnel subsidiaire est irrecevable. Le recours en matière civile est rejeté, dans la mesure de sa recevabilité. Les frais judiciaires, arrêtés à 20'000 fr., sont mis à la charge de la recourante qui succombe ( art. 66 al. 1 LTF ). Les intimées, qui n'ont pas été invitées à répondre au fond, n'ont pas droit à des dépens ( art. 68 al. 1 LTF ). Les sûretés fournies par la recourante lui seront en conséquence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