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907/2015 vom 16. November 2015</w:t>
      </w:r>
    </w:p>
    <w:p>
      <w:r>
        <w:t>Bundesgericht, 2015-11-16, DE</w:t>
      </w:r>
    </w:p>
    <w:p>
      <w:r>
        <w:rPr>
          <w:b/>
        </w:rPr>
        <w:t xml:space="preserve">Quelle: </w:t>
      </w:r>
      <w:r>
        <w:t>https://mcp.opencaselaw.ch/entscheid/bger_5A_907_2015</w:t>
      </w:r>
    </w:p>
    <w:p>
      <w:r>
        <w:t>FR: TF 5A 907/2015 du 16 novembre 2015</w:t>
      </w:r>
    </w:p>
    <w:p>
      <w:r>
        <w:t>IT: TF 5A 907/2015 del 16 novembre 2015</w:t>
      </w:r>
    </w:p>
    <w:p>
      <w:pPr>
        <w:pStyle w:val="Heading2"/>
      </w:pPr>
      <w:r>
        <w:t>Regeste</w:t>
      </w:r>
    </w:p>
    <w:p>
      <w:r>
        <w:t>Persönlicher Verkehr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Fristwiederherstellungsgesuch wird nicht eingetreten.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Das Gesuch um unentgeltliche Rechtspflege wird abgewiesen.</w:t>
      </w:r>
    </w:p>
    <w:p>
      <w:r>
        <w:rPr>
          <w:b/>
        </w:rPr>
        <w:t>E. 4</w:t>
      </w:r>
    </w:p>
    <w:p>
      <w:r>
        <w:t>Die Gerichtskosten von Fr. 100.-- werden der Beschwerdeführerin auferlegt.</w:t>
      </w:r>
    </w:p>
    <w:p>
      <w:r>
        <w:rPr>
          <w:b/>
        </w:rPr>
        <w:t>E. 5</w:t>
      </w:r>
    </w:p>
    <w:p>
      <w:r>
        <w:t>Dieses Urteil wird der Beschwerdeführerin, den Kindes- und Erwachsenenschutzbehörden Oberland Ost und Emmental sowie dem Obergericht des Kantons Bern schriftlich mitgeteilt. Lausanne, 16. November 2015 Im Namen der II. zivilrechtlichen Abteilung des Schweizerischen Bundesgerichts Der Präsident: von Werdt 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