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5A_906/2019 vom 13. November 2019</w:t>
      </w:r>
    </w:p>
    <w:p>
      <w:r>
        <w:t>Bundesgericht, 2019-11-13, DE</w:t>
      </w:r>
    </w:p>
    <w:p>
      <w:r>
        <w:rPr>
          <w:b/>
        </w:rPr>
        <w:t xml:space="preserve">Quelle: </w:t>
      </w:r>
      <w:r>
        <w:t>https://mcp.opencaselaw.ch/entscheid/bger_5A_906_2019</w:t>
      </w:r>
    </w:p>
    <w:p>
      <w:r>
        <w:t>FR: TF 5A_906/2019 du 13 novembre 2019</w:t>
      </w:r>
    </w:p>
    <w:p>
      <w:r>
        <w:t>IT: TF 5A_906/2019 del 13 novembre 2019</w:t>
      </w:r>
    </w:p>
    <w:p>
      <w:pPr>
        <w:pStyle w:val="Heading2"/>
      </w:pPr>
      <w:r>
        <w:t>Erwägungen</w:t>
      </w:r>
    </w:p>
    <w:p>
      <w:r>
        <w:rPr>
          <w:b/>
        </w:rPr>
        <w:t>E. 1</w:t>
      </w:r>
    </w:p>
    <w:p>
      <w:r>
        <w:t>Angefochten ist im doppelten Sinn eine vorsorgliche Massnahme: Im Berufungsverfahren geht es insgesamt um vorsorgliche Massnahmen; zudem stellt der Entscheid über die aufschiebende Wirkung unabhängig vom zugrunde liegenden Verfahren eine vorsorgliche Massnahme dar (vgl. BGE 134 II 192 E. 1.5 S. 197; Urteile 5A_665/2018 vom 18. September 2018; 5A_513/2019 9. Juli 2019). Somit gelten im bundesgerichtlichen Verfahren nicht nur die Anfechtungsvoraussetzungen von Art. 93 Abs. 1 BGG , sondern überdies auch die Kognitionsbeschränkungen von Art. 98 BGG : Es können nur verfassungsmässige Rechte als verletzt gerügt werden, wofür das strikte Rügeprinzip gemäss Art. 106 Abs. 2 BGG gilt. Das bedeutet, dass das Bundesgericht nur klar und detailliert erhobene und soweit möglich belegte Rügen prüft, während es auf ungenügend begründete Rügen und rein appellatorische Kritik am angefochtenen Entscheid nicht eintritt ( BGE 134 II 244 E. 2.2 S. 246; 142 II 369 E. 2.1 S. 372; 142 III 364 E. 2.4 S. 368).</w:t>
      </w:r>
    </w:p>
    <w:p>
      <w:r>
        <w:rPr>
          <w:b/>
        </w:rPr>
        <w:t>E. 2</w:t>
      </w:r>
    </w:p>
    <w:p>
      <w:r>
        <w:t>Die anwaltlich vertretene Beschwerdeführerin äussert sich in der gesamten Beschwerde ausschliesslich in appellatorischer Weise. Weder wird explizit die Verletzung verfassungsmässiger Rechte geltend gemacht, noch erfolgen der Sache nach Verfassungsrügen.</w:t>
      </w:r>
    </w:p>
    <w:p>
      <w:r>
        <w:rPr>
          <w:b/>
        </w:rPr>
        <w:t>E. 3</w:t>
      </w:r>
    </w:p>
    <w:p>
      <w:r>
        <w:t>Somit erweist sich die Beschwerde als offensichtlich nicht hinreichend begründet, weshalb auf sie nicht eingetreten werden kann und der Präsident im vereinfachten Verfahren entscheidet ( Art. 108 Abs. 1 lit. b BGG ).</w:t>
      </w:r>
    </w:p>
    <w:p>
      <w:r>
        <w:rPr>
          <w:b/>
        </w:rPr>
        <w:t>E. 4</w:t>
      </w:r>
    </w:p>
    <w:p>
      <w:r>
        <w:t>Mit dem Entscheid in der Sache wird das Gesuch um aufschiebende Wirkung gegenstandslos.</w:t>
      </w:r>
    </w:p>
    <w:p>
      <w:r>
        <w:rPr>
          <w:b/>
        </w:rPr>
        <w:t>E. 5</w:t>
      </w:r>
    </w:p>
    <w:p>
      <w:r>
        <w:t>Mangels tauglicher Begründung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