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5A_905/2020 vom 3. November 2020</w:t>
      </w:r>
    </w:p>
    <w:p>
      <w:r>
        <w:t>Bundesgericht, 2020-11-03, DE</w:t>
      </w:r>
    </w:p>
    <w:p>
      <w:r>
        <w:rPr>
          <w:b/>
        </w:rPr>
        <w:t xml:space="preserve">Quelle: </w:t>
      </w:r>
      <w:r>
        <w:t>https://mcp.opencaselaw.ch/entscheid/bger_5A_905_2020</w:t>
      </w:r>
    </w:p>
    <w:p>
      <w:r>
        <w:t>FR: TF 5A_905/2020 du 3 novembre 2020</w:t>
      </w:r>
    </w:p>
    <w:p>
      <w:r>
        <w:t>IT: TF 5A_905/2020 del 3 novembre 2020</w:t>
      </w:r>
    </w:p>
    <w:p>
      <w:pPr>
        <w:pStyle w:val="Heading2"/>
      </w:pPr>
      <w:r>
        <w:t>Erwägungen</w:t>
      </w:r>
    </w:p>
    <w:p>
      <w:r>
        <w:rPr>
          <w:b/>
        </w:rPr>
        <w:t>E. 1</w:t>
      </w:r>
    </w:p>
    <w:p>
      <w:r>
        <w:t>Das angefochtene Urteil wurde dem Beschwerdeführer am 14. September 2020 zugestellt. Die 30-tägige Beschwerdefrist von Art. 100 Abs. 1 BGG begann somit am 15. September 2020 zu laufen ( Art. 44 Abs. 1 BGG ) und endete am 14. Oktober 2020. Weil dies ein Samstag war, verlängerte sie sich auf Montag, den 16. Oktober 2020 ( Art. 45 Abs. 1 BGG ).</w:t>
      </w:r>
    </w:p>
    <w:p>
      <w:r>
        <w:t>Die am 16. Oktober 2020 der Post übergebene Beschwerde ist somit fristgerecht eingereicht worden. Indes ist das mit der Begründung, er sei nicht in der Lage, seine Interessen persönlich mitzuteilen, gestellte Begehren um Beigabe eines Rechtsvertreters gegenstandslos, weil ein solcher nicht mehr fristwahrend tätig werden könnte. Weiterungen in diesem Zusammenhang erübrigen sich somit.</w:t>
      </w:r>
    </w:p>
    <w:p>
      <w:r>
        <w:rPr>
          <w:b/>
        </w:rPr>
        <w:t>E. 2</w:t>
      </w:r>
    </w:p>
    <w:p>
      <w:r>
        <w:t>Angefochten ist ein kantonal letztinstanzlicher Zwischenentscheid betreffend örtliche Zuständigkeit; die Beschwerde steht somit an sich offen ( Art. 72 Abs. 1, Art. 75 Abs. 1 und Art. 92 Abs. 1 BGG ).</w:t>
      </w:r>
    </w:p>
    <w:p>
      <w:r>
        <w:t>Indes müsste die Beschwerde eine Begründung enthalten, in welcher in gedrängter Form dargelegt wird, inwiefern der angefochtene Ent-scheid Recht verletzt ( Art. 42 Abs. 2 BGG ), was eine sachbezogene Auseinandersetzung mit dessen Erwägungen erfordert ( BGE 140 III 115 E. 2 S. 116; 142 III 364 E. 2.4 S. 368). Sodann muss diese Begründung in der Beschwerde selbst erfolgen und sind blosse Verweise unzulässig ( BGE 140 III 115 E. 2 S. 116; 141 V 416 E. 4 S. 421); der vom Beschwerdeführer verlangte Beizug der vorinstanzlichen Akten und Entgegennahme seiner dortigen Ausführungen als Bestandteil der vorliegenden Beschwerde geht deshalb an der Sache vorbei.</w:t>
      </w:r>
    </w:p>
    <w:p>
      <w:r>
        <w:rPr>
          <w:b/>
        </w:rPr>
        <w:t>E. 3</w:t>
      </w:r>
    </w:p>
    <w:p>
      <w:r>
        <w:t>Die beim Bundesgericht eingereichte Beschwerde enthält keinerlei Begründung und es ist folglich im vereinfachten Verfahren nach Art. 108 Abs. 1 lit. b BGG auf sie nicht einzutreten.</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