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5A_904/2020 vom 29. Oktober 2020</w:t>
      </w:r>
    </w:p>
    <w:p>
      <w:r>
        <w:t>Bundesgericht, 2020-10-29, DE</w:t>
      </w:r>
    </w:p>
    <w:p>
      <w:r>
        <w:rPr>
          <w:b/>
        </w:rPr>
        <w:t xml:space="preserve">Quelle: </w:t>
      </w:r>
      <w:r>
        <w:t>https://mcp.opencaselaw.ch/entscheid/bger_5A_904_2020</w:t>
      </w:r>
    </w:p>
    <w:p>
      <w:r>
        <w:t>FR: TF 5A_904/2020 du 29 octobre 2020</w:t>
      </w:r>
    </w:p>
    <w:p>
      <w:r>
        <w:t>IT: TF 5A_904/2020 del 29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).</w:t>
      </w:r>
    </w:p>
    <w:p>
      <w:r>
        <w:rPr>
          <w:b/>
        </w:rPr>
        <w:t>E. 2</w:t>
      </w:r>
    </w:p>
    <w:p>
      <w:r>
        <w:t>Die Beschwerde enthält weder ein Rechtsbegehren noch eine Begründung. Im Übrigen ist auch nicht ersichtlich, inwiefern der angefochtene Entscheid gegen Recht verstossen könnte.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b BGG nicht einzutreten.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