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5A_903/2025 vom 28. Oktober 2025</w:t>
      </w:r>
    </w:p>
    <w:p>
      <w:r>
        <w:t>Bundesgericht, 2025-10-28, FR</w:t>
      </w:r>
    </w:p>
    <w:p>
      <w:r>
        <w:rPr>
          <w:b/>
        </w:rPr>
        <w:t xml:space="preserve">Quelle: </w:t>
      </w:r>
      <w:r>
        <w:t>https://mcp.opencaselaw.ch/entscheid/bger_5A_903_2025</w:t>
      </w:r>
    </w:p>
    <w:p>
      <w:r>
        <w:t>FR: TF 5A_903/2025 du 28 octobre 2025</w:t>
      </w:r>
    </w:p>
    <w:p>
      <w:r>
        <w:t>IT: TF 5A_903/2025 del 28 ottobre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5A_903/2025</w:t>
      </w:r>
    </w:p>
    <w:p>
      <w:r>
        <w:t>Ordonnance du 28 octobre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1. A.________,</w:t>
      </w:r>
    </w:p>
    <w:p>
      <w:r>
        <w:t>2. B.________,</w:t>
      </w:r>
    </w:p>
    <w:p>
      <w:r>
        <w:t>recourantes,</w:t>
      </w:r>
    </w:p>
    <w:p>
      <w:r>
        <w:t>contre</w:t>
      </w:r>
    </w:p>
    <w:p>
      <w:r>
        <w:t>Cour de justice du canton de Genève, Chambre de surveillance,</w:t>
      </w:r>
    </w:p>
    <w:p>
      <w:r>
        <w:t>place du Bourg-de-Four 1, 1204 Genève,</w:t>
      </w:r>
    </w:p>
    <w:p>
      <w:r>
        <w:t>intimée.</w:t>
      </w:r>
    </w:p>
    <w:p>
      <w:r>
        <w:t>Objet</w:t>
      </w:r>
    </w:p>
    <w:p>
      <w:r>
        <w:t>avance de frais (curatelle, changement de curateur),</w:t>
      </w:r>
    </w:p>
    <w:p>
      <w:r>
        <w:t>recours contre la décision de la Chambre de</w:t>
      </w:r>
    </w:p>
    <w:p>
      <w:r>
        <w:t>surveillance de la Cour de justice du canton de</w:t>
      </w:r>
    </w:p>
    <w:p>
      <w:r>
        <w:t>Genève du 10 octobre 2025 (C/13071/2011 AS PAE DCJC/913/2025).</w:t>
      </w:r>
    </w:p>
    <w:p>
      <w:r>
        <w:t>Vu :</w:t>
      </w:r>
    </w:p>
    <w:p>
      <w:r>
        <w:t>la décision de la Chambre de surveillance de la Cour de justice du canton de Genève du 10 octobre 2025 invitant A.________ et B.________ à effectuer jusqu'au 28 octobre 2025 une avance de frais de 400 fr.;</w:t>
      </w:r>
    </w:p>
    <w:p>
      <w:r>
        <w:t>le recours en matière civile au Tribunal fédéral formé le 21 octobre 2025 par les prénommées, assorti d'une requête d'effet suspensif;</w:t>
      </w:r>
    </w:p>
    <w:p>
      <w:r>
        <w:t>l'avis de la Greffière de la cour cantonale du 24 octobre 2025 informant la Cour de céans que A.________ s'est acquittée de l'avance de frais requise le 22 octobre 2025;</w:t>
      </w:r>
    </w:p>
    <w:p>
      <w:r>
        <w:t>l' art. 72 LTF , par renvoi de l' art. 71 PCF ;</w:t>
      </w:r>
    </w:p>
    <w:p>
      <w:r>
        <w:t>considérant :</w:t>
      </w:r>
    </w:p>
    <w:p>
      <w:r>
        <w:t>que le versement de l'avance de frais litigieuse a rendu sans objet le présent recours;</w:t>
      </w:r>
    </w:p>
    <w:p>
      <w:r>
        <w:t>que le Président de la Cour de céans est compétent pour en prendre acte ( art. 32 al. 2 LTF );</w:t>
      </w:r>
    </w:p>
    <w:p>
      <w:r>
        <w:t>que les recourantes conservent la faculté de contester, le cas échéant, l'avance de frais réclamée à l'appui d'un recours dirigé à l'encontre de la décision finale de la cour cantonale ( art. 93 al. 3 LTF );</w:t>
      </w:r>
    </w:p>
    <w:p>
      <w:r>
        <w:t>que, vu les circonstances de l'espèce, il y a lieu de renoncer à percevoir des frais judiciaires (art. 66 al. 1, 2ème phrase, LTF);</w:t>
      </w:r>
    </w:p>
    <w:p>
      <w:r>
        <w:t>que la requête d'effet suspensif est sans objet;</w:t>
      </w:r>
    </w:p>
    <w:p>
      <w:r>
        <w:t>par ces motifs, le Président ordonne :</w:t>
      </w:r>
    </w:p>
    <w:p>
      <w:r>
        <w:t>1.</w:t>
      </w:r>
    </w:p>
    <w:p>
      <w:r>
        <w:t>Le recours est sans objet et la cause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parties.</w:t>
      </w:r>
    </w:p>
    <w:p>
      <w:r>
        <w:t>Lausanne, le 28 octobre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