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5A_903/2020 vom 29. Oktober 2020</w:t>
      </w:r>
    </w:p>
    <w:p>
      <w:r>
        <w:t>Bundesgericht, 2020-10-29, DE</w:t>
      </w:r>
    </w:p>
    <w:p>
      <w:r>
        <w:rPr>
          <w:b/>
        </w:rPr>
        <w:t xml:space="preserve">Quelle: </w:t>
      </w:r>
      <w:r>
        <w:t>https://mcp.opencaselaw.ch/entscheid/bger_5A_903_2020</w:t>
      </w:r>
    </w:p>
    <w:p>
      <w:r>
        <w:t>FR: TF 5A_903/2020 du 29 octobre 2020</w:t>
      </w:r>
    </w:p>
    <w:p>
      <w:r>
        <w:t>IT: TF 5A_903/2020 del 29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 S. 116; 142 III 364 E. 2.4 S. 368). In diesen äussert sich das Obergericht ausführlich zum kantonalen Beschwerdevorbringen, beim Konto handle es sich um Sparguthaben aus einer unpfändbaren AHV-Rente.</w:t>
      </w:r>
    </w:p>
    <w:p>
      <w:r>
        <w:rPr>
          <w:b/>
        </w:rPr>
        <w:t>E. 2</w:t>
      </w:r>
    </w:p>
    <w:p>
      <w:r>
        <w:t>Die Beschwerde enthält nur das genannte Begehren, aber keinerlei Begründung. Eine Rechtsverletzung ist folglich nicht dargetan und es ist auf die Beschwerde im vereinfachten Verfahren nach Art. 108 Abs. 1 lit. b BGG nicht einzutreten.</w:t>
      </w:r>
    </w:p>
    <w:p>
      <w:r>
        <w:rPr>
          <w:b/>
        </w:rPr>
        <w:t>E. 3</w:t>
      </w:r>
    </w:p>
    <w:p>
      <w:r>
        <w:t>Dieses Urteil wird dem Beschwerdeführer, dem Betreibungsamt Bern-Mittelland, Dienststelle Mittelland, und dem Obergericht des Kantons Bern, Aufsichtsbehörde in Betreibungs- und Konkurssachen, schriftlich mitgeteilt.</w:t>
      </w:r>
    </w:p>
    <w:p>
      <w:r>
        <w:t>Lausanne, 29. Oktober 2020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