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5A_902/2020 vom 25. Januar 2021</w:t>
      </w:r>
    </w:p>
    <w:p>
      <w:r>
        <w:t>Bundesgericht, 2021-01-25, FR</w:t>
      </w:r>
    </w:p>
    <w:p>
      <w:r>
        <w:rPr>
          <w:b/>
        </w:rPr>
        <w:t xml:space="preserve">Quelle: </w:t>
      </w:r>
      <w:r>
        <w:t>https://mcp.opencaselaw.ch/entscheid/bger_5A_902_2020</w:t>
      </w:r>
    </w:p>
    <w:p>
      <w:r>
        <w:t>FR: TF 5A_902/2020 du 25 janvier 2021</w:t>
      </w:r>
    </w:p>
    <w:p>
      <w:r>
        <w:t>IT: TF 5A_902/2020 del 25 gennaio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51 al. 4 et 74 al. 1 let. b LTF). La recourante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Dans la partie " Faits " de son mémoire, la recourante se contente d'exposer sa propre version des faits. En tant que ces éléments s'écartent de ceux constatés dans l'arrêt querellé ou complètent ceux-ci et qu'ils ne sont pas critiqués sous l'angle de l'établissement arbitraire des faits ou de l'appréciation arbitraire des preuves examinés ci-après (cf.</w:t>
      </w:r>
    </w:p>
    <w:p>
      <w:r>
        <w:t>infra consid. 4), il n'en sera pas tenu compte.</w:t>
      </w:r>
    </w:p>
    <w:p>
      <w:r>
        <w:rPr>
          <w:b/>
        </w:rPr>
        <w:t>E. 2.3</w:t>
      </w:r>
    </w:p>
    <w:p>
      <w:r>
        <w:t>Des mesures probatoires devant le Tribunal fédéral ( art. 55 LTF ) ne sont qu'exceptionnellement ordonnées dans une procédure de recours, dès lors qu'il conduit en principe son raisonnement juridique sur la base des faits établis par l'autorité précédente ( art. 105 al. 1 LTF ; ATF 136 II 101 consid. 2; arrêts 5A_238/2020 du 28 juillet 2020 consid. 2.4; 5A_361/2019 du 21 février 2020 consid. 2.5 et les références).</w:t>
      </w:r>
    </w:p>
    <w:p>
      <w:r>
        <w:t>En sus de la production du dossier cantonal - lequel a été transmis au Tribunal fédéral conformément aux exigences prévues à l' art. 102 al. 2 LTF -, la recourante sollicite l'interrogatoire des parties, " t ous autres moyens de preuve [étant] réservés ". Aucun élément ne permet toutefois d'inférer ici l'existence de circonstances exceptionnelles justifiant d'accéder à une telle réquisition.</w:t>
      </w:r>
    </w:p>
    <w:p>
      <w:r>
        <w:rPr>
          <w:b/>
        </w:rPr>
        <w:t>E. 3.1</w:t>
      </w:r>
    </w:p>
    <w:p>
      <w:r>
        <w:t>La recourante reproche tout d'abord à la cour cantonale d'avoir fait preuve de formalisme excessif, commis un déni de justice et violé l' art. 310 CPC en " réduisant " l'état de fait à celui retenu par le premier juge et en refusant, " sous couvert de prétextes inutilement formalistes ", de revoir les faits allégués en appel.</w:t>
      </w:r>
    </w:p>
    <w:p>
      <w:r>
        <w:rPr>
          <w:b/>
        </w:rPr>
        <w:t>E. 3.2</w:t>
      </w:r>
    </w:p>
    <w:p>
      <w:r>
        <w:t>L'autorité cantonale a constaté que, dans la partie " Faits " de son écriture d'appel, l'ex-épouse - assistée d'un mandataire professionnel - se bornait à reprendre ses allégations de première instance, quasiment mot pour mot, en se référant au dossier, sans faire la moindre allusion à l'état de fait contenu dans le jugement de première instance et sans rien indiquer sur le fondement et l'objet de ses éventuelles critiques. Or, il n'appartenait pas à la juridiction d'appel de comparer l'état de fait présenté en deuxième instance avec celui du premier jugement pour y déceler les éventuelles modifications apportées et en déduire les critiques de l'appelante. Il n'y avait dès lors pas lieu d'entrer en matière sur l'état de fait proposé par celle-ci, sous réserve des éléments de fait critiqués de manière spécifique dans la partie " Droit " de l'appel.</w:t>
      </w:r>
    </w:p>
    <w:p>
      <w:r>
        <w:rPr>
          <w:b/>
        </w:rPr>
        <w:t>E. 3.3</w:t>
      </w:r>
    </w:p>
    <w:p>
      <w:r>
        <w:t>L'appel peut être formé pour violation du droit ( art. 310 let. a CPC ) et constatation inexacte des faits ( art. 310 let. b CPC ). La juridiction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Il incombe toutefois au recourant de motiver son appel ( art. 311 al. 1 CPC ),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 ATF 141 III 569 consid. 2.3.3; 138 III 374 consid. 4.3.1). Sous réserve d'inexactitudes manifestes, la juridiction d'appel doit en principe se limiter aux griefs formés contre le jugement de première instance ( ATF 144 III 394 consid. 4.1.4; 142 III 413 consid. 2.2.4).</w:t>
      </w:r>
    </w:p>
    <w:p>
      <w:r>
        <w:t>Il s'ensuit que la cour cantonale pouvait se contenter de traiter les griefs de fait spécifiquement soulevés par l'ex-épouse et qu'on ne peut lui reprocher à cet égard d'avoir indûment limité son pouvoir d'examen. Par ailleurs, si la validité d'un moyen de droit présuppose, en vertu d'une règle légale expresse, une motivation - même minimale -, en exiger une ne saurait constituer une violation de l'interdiction du formalisme excessif ( ATF 134 II 244 consid. 2.4.2 et les références; arrêt 5A_577/2020 du 16 décembre 2020 consid. 6) ou, de manière plus générale, un déni de justice.</w:t>
      </w:r>
    </w:p>
    <w:p>
      <w:r>
        <w:rPr>
          <w:b/>
        </w:rPr>
        <w:t>E. 4</w:t>
      </w:r>
    </w:p>
    <w:p>
      <w:r>
        <w:t>La recourante fait ensuite grief à la juridiction précédente d'avoir apprécié de manière manifestement inexacte les pièces déposées par C.________ et d'avoir écarté le témoignage de celui-ci, pourtant limpide. Elle se borne toutefois à présenter, de manière purement appellatoire, sa propre lecture des pièces litigieuses et à opposer sa propre appréciation de la crédibilité du témoin à celle de la cour cantonale. Elle ne discute au demeurant pas les autres éléments que la juridiction précédente a évoqués pour considérer que l'ex-épouse vivait avec C.________ au jour du dépôt de la requête en modification et que la preuve de leur rupture ultérieure n'avait pas été apportée. Faute de remplir les exigences de motivation susmentionnées (cf.</w:t>
      </w:r>
    </w:p>
    <w:p>
      <w:r>
        <w:t>supra consid. 2.2), le grief est irrecevable.</w:t>
      </w:r>
    </w:p>
    <w:p>
      <w:r>
        <w:rPr>
          <w:b/>
        </w:rPr>
        <w:t>E. 5</w:t>
      </w:r>
    </w:p>
    <w:p>
      <w:r>
        <w:t>La recourante reproche enfin à la juridiction précédente d'avoir violé l' art. 129 CC en " l'appliquant aveuglément dans toute sa rigueur et non pas de manière proportionnée ".</w:t>
      </w:r>
    </w:p>
    <w:p>
      <w:r>
        <w:rPr>
          <w:b/>
        </w:rPr>
        <w:t>E. 5.1.1</w:t>
      </w:r>
    </w:p>
    <w:p>
      <w:r>
        <w:t>La modification de la contribution d'entretien due à l'ex-conjoint, fixée dans un jugement de divorce, est régie par  l' art. 129 CC .  Selon l'alinéa premier de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 ATF 138 III 289 consid. 11.1.1; 131 III 189 consid. 2.7.4; arrêt 5A_964/2018 du 26 juin 2019 consid. 3.2.1).</w:t>
      </w:r>
    </w:p>
    <w:p>
      <w:r>
        <w:rPr>
          <w:b/>
        </w:rPr>
        <w:t>E. 5.1.2</w:t>
      </w:r>
    </w:p>
    <w:p>
      <w:r>
        <w:t>L' art. 129 CC peut trouver application lorsque le créancier vit dans un concubinage qualifié (arrêts 5A_964/2018 précité consid. 3.2.1; 5A_373/2015 du 2 juin 2016 consid. 4.3.2; 5A_760/2012 du 27 février 2013 consid. 5.1.1 et la référence; 5A_81/2008 du 11 juin 2008 consid. 5.1.2).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 ATF 145 I 108 consid. 4.4.6; 138 III 157 consid. 2.3.3); le juge doit dans tous les cas procéder à une appréciation de tous les facteurs déterminants, étant précisé que la qualité d'une communauté de vie s'évalue au regard de l'ensemble des circonstances de la vie commune ( ATF 138 III 157 consid. 2.3.3; 118 II 235 consid. 3b; arrêt 5A_964/2018 précité consid. 3.2.2). Il incombe au débiteur d'entretien de prouver que le créancier vit dans un concubinage qualifié avec un nouveau partenaire ( ATF 138 III 97 consid. 3.4.2; 118 II 235 consid. 3c); le Tribunal fédéral a toutefois posé la présomption - réfragable - qu'un concubinage est qualifié lorsqu'il dure depuis cinq ans au moment de l'ouverture de l'action en modification du jugement de divorce ( ATF 138 III 97 consid. 3.4.2; 118 II 235 consid. 3a). L'existence ou non d'un concubinage qualifié ne dépend pas des moyens financiers des concubins, mais de leurs sentiments mutuels et de l'existence d'une communauté de destins ( ATF 124 III 52 consid. 2a/aa; arrêts 5A_964/2018 précité consid. 3.2.2; 5A_373/2015 précité consid. 4.3.2). La contribution d'entretien peut ainsi être modifiée indépendamment de toute amélioration de la situation financière du créancier (arrêts 5A_964/2018 précité consid. 3.2.2; 5A_373/2015 précité consid. 4.3.2; 5A_760/2012 précité consid. 5.4; 5A_81/2008 précité consid. 5.1.2). En effet, en s'engageant volontairement dans une nouvelle communauté de destins, le crédirentier renonce ce faisant aux prétentions qu'il a envers son ex-conjoint indépendamment de sa nouvelle situation économique. La renonciation aux prétentions d'entretien peut être plus ou moins définitive, selon que la nouvelle relation du crédirentier entraîne la suppression ou la simple suspension du droit à la rente (arrêts 5A_964/2018 précité consid. 3.2.2; 5A_373/2015 précité consid. 4.3.2; 5A_81/2008 précité consid. 5.4.2).</w:t>
      </w:r>
    </w:p>
    <w:p>
      <w:r>
        <w:rPr>
          <w:b/>
        </w:rPr>
        <w:t>E. 5.1.3</w:t>
      </w:r>
    </w:p>
    <w:p>
      <w:r>
        <w:t>Le choix entre la suspension ou la suppression de la rente doit procéder d'une pesée des intérêts, entre celui du créancier à pouvoir bénéficier d'une pension en cas de dissolution du concubinage et celui du débiteur à être définitivement libéré de son obligation d'entretien. La contribution d'entretien sera a priori supprimée lorsque le concubinage est qualifié; la suppression sera par conséquent généralement prononcée lorsque, au moment de l'introduction de la requête, la durée du concubinage est supérieure au délai de cinq ans ou lorsque la communauté de vie n'a pas encore atteint cette durée mais présente, en raison d'autres facteurs, une stabilité suffisante (arrêts 5A_964/2018 précité consid. 3.2.3; 5A_373/2015 précité consid. 4.3.3 et la référence).</w:t>
      </w:r>
    </w:p>
    <w:p>
      <w:r>
        <w:rPr>
          <w:b/>
        </w:rPr>
        <w:t>E. 5.2</w:t>
      </w:r>
    </w:p>
    <w:p>
      <w:r>
        <w:t>En l'espèce, s'agissant du point de savoir si le concubinage constitue un fait nouveau et durable, la recourante se contente de le nier en affirmant que l'intimé avait connaissance de sa relation avec C.________ en 2012. Ce faisant, elle ne discute pas les motifs de l'arrêt attaqué selon lesquels la pension avait été initialement fixée sans tenir compte d'un éventuel concubinage stable, la convention signée par les parties ne mentionnant pas cet élément comme facteur de réduction ou suppression de la rente et l'ex-épouse ne fréquentant à l'époque C.________ que depuis peu de temps, l'évolution de cette relation étant ainsi imprévisible. Faute de remplir les exigences de motivation susmentionnées (art. 42 al. 2 et 106 al. 2 LTF; cf.</w:t>
      </w:r>
    </w:p>
    <w:p>
      <w:r>
        <w:t>supra consid. 2.1 et 2.2), la critique est irrecevable.</w:t>
      </w:r>
    </w:p>
    <w:p>
      <w:r>
        <w:t>En tant qu'elle fait valoir qu'à l'ouverture de l'action en modification, elle ne vivait pas depuis cinq ans avec C.________, de sorte que sa relation avec celui-ci ne pourrait être considérée comme un concubinage qualifié, la recourante perd de vue que, pour juger de la stabilité du concubinage, la cour cantonale s'est fondée sur d'autres circonstances que la durée de celui-ci, en particulier sur les engagements financiers à long terme que les intéressés ont pris ensemble peu de temps avant le dépôt de la requête en modification. A cet égard, la recourante soutient que le dossier ne contiendrait " que l'existence d'une copropriété foncière habituelle et commune à nombre de couples et [qu']il y [aurait] lieu de distinguer le rapport fondé sur les droits réels (rapport externe) du rapport découlant de la société simple (rapport interne), chaque part de copropriété devant faire partie de la liquidation de la société simple (concubinage), respectivement de la copropriété ". Pour autant qu'on puisse la comprendre, l'ex-épouse fait ainsi valoir qu'elle et C.________ ne seraient que de simples copropriétaires. Ce faisant, elle ne critique pas l'arrêt attaqué de manière conforme aux exigences de motivation de l' art. 106 al. 2 LTF (cf.</w:t>
      </w:r>
    </w:p>
    <w:p>
      <w:r>
        <w:t>supra consid 2.2), la cour cantonale ayant retenu que les intéressés avaient acquis le deuxième bien immobilier alors qu'ils étaient en couple et que leur rupture ultérieure n'était nullement démontrée. Au vu des faits constatés dans la décision querellée - qui lient le Tribunal fédéral ( art. 105 al. 1 LTF ) et que la recourante n'a pas valablement remis en cause (cf.</w:t>
      </w:r>
    </w:p>
    <w:p>
      <w:r>
        <w:t>supra consid. 2.2, 3 et 4) -, il n'apparaît pas, en l'espèce, que la juridiction précédente aurait violé le droit fédéral en considérant que la relation des intéressés était suffisamment stable pour constituer un concubinage qualifié. Cela est d'autant plus vrai que, même si l'on retenait le mois de novembre 2012 comme date du début du concubinage, la durée de celui-ci n'aurait été que très légèrement inférieure à cinq ans au moment du dépôt de la requête en modification, le 28 septembre 2017.</w:t>
      </w:r>
    </w:p>
    <w:p>
      <w:r>
        <w:t>La cour cantonale a considéré qu'au vu du concubinage qualifié, il se justifiait de supprimer définitivement la contribution d'entretien en faveur de l'ex-épouse. Elle a jugé qu'à supposer qu'il faille tenir compte d'une rupture entre les concubins en cours de procédure comme facteur déterminant dans la pesée des intérêts, la preuve de cette rupture n'avait pas été apportée à satisfaction, de nombreux indices convergents laissant au contraire penser que la séparation était factice et avait été organisée en opportunité par les intéressés. Elle a estimé que la suppression était d'autant moins discutable qu'alors même que la convention de divorce prévoyait l'évolution dégressive de la quotité de la pension en fonction des revenus que l'ex-épouse allait réaliser après le divorce, celle-ci n'avait nullement cherché à se réinsérer sur le marché du travail. Son état de santé ne justifiait pas non plus de suspendre la rente, une incapacité de travail n'ayant nullement été démontrée. L'ex-épouse ne s'exprime pas sur ces motifs ( art. 42 al. 2 LTF , cf.</w:t>
      </w:r>
    </w:p>
    <w:p>
      <w:r>
        <w:t>supra consid. 2.1), se contentant de faire valoir qu'il y aurait lieu de tenir compte de la rupture avec son concubin afin d'éviter une nouvelle procédure en modification. Sa critique se fonde ainsi entièrement sur un fait écarté par la juridiction précédente, sans qu'elle ait démontré le caractère arbitraire de l'arrêt querellé sur ce point (cf.</w:t>
      </w:r>
    </w:p>
    <w:p>
      <w:r>
        <w:t>supra consid. 2.2, 3 et 4).</w:t>
      </w:r>
    </w:p>
    <w:p>
      <w:r>
        <w:t>Infondée, la critique de la recourante doit être rejetée dans la très faible mesure de sa recevabilité.</w:t>
      </w:r>
    </w:p>
    <w:p>
      <w:r>
        <w:rPr>
          <w:b/>
        </w:rPr>
        <w:t>E. 6</w:t>
      </w:r>
    </w:p>
    <w:p>
      <w:r>
        <w:t>En conclusion, le recours est rejeté dans la mesure de sa recevabilité. Les conclusions de la recourante étant d'emblée vouées à l'échec, sa requête d'assistance judiciaire doit être rejetée ( art. 64 al. 1 LTF ). Les frais judiciaires sont donc mis à la charge de celle-ci ( art. 66 al. 1 LTF ). Il n'y a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