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5A_901/2019 vom 9. Juli 2020</w:t>
      </w:r>
    </w:p>
    <w:p>
      <w:r>
        <w:t>Bundesgericht, 2020-07-09, FR</w:t>
      </w:r>
    </w:p>
    <w:p>
      <w:r>
        <w:rPr>
          <w:b/>
        </w:rPr>
        <w:t xml:space="preserve">Quelle: </w:t>
      </w:r>
      <w:r>
        <w:t>https://mcp.opencaselaw.ch/entscheid/bger_5A_901_2019</w:t>
      </w:r>
    </w:p>
    <w:p>
      <w:r>
        <w:t>FR: TF 5A_901/2019 du 9 juillet 2020</w:t>
      </w:r>
    </w:p>
    <w:p>
      <w:r>
        <w:t>IT: TF 5A_901/2019 del 9 luglio 2020</w:t>
      </w:r>
    </w:p>
    <w:p>
      <w:pPr>
        <w:pStyle w:val="Heading2"/>
      </w:pPr>
      <w:r>
        <w:t>Erwägungen</w:t>
      </w:r>
    </w:p>
    <w:p>
      <w:r>
        <w:rPr>
          <w:b/>
        </w:rPr>
        <w:t>E. 1</w:t>
      </w:r>
    </w:p>
    <w:p>
      <w:r>
        <w:t>Le Tribunal fédéral examine d'office la recevabilité des recours qui lui sont soumis ( ATF 145 II 168 consid. 1; 144 II 184 consid. 1).</w:t>
      </w:r>
    </w:p>
    <w:p>
      <w:r>
        <w:rPr>
          <w:b/>
        </w:rPr>
        <w:t>E. 1.1</w:t>
      </w:r>
    </w:p>
    <w:p>
      <w:r>
        <w:t>Il s'agit avant tout de souligner que, devant la cour cantonale, le sort de l'action fondée sur l' art. 679 CC était scellé, le défaut de qualité pour défendre des intimés n'étant plus remis en cause devant cette dernière instance. Seule restait encore litigieuse à ce stade la question de leur légitimation passive dans le cadre de l'action en cessation de trouble selon l' art. 28 ss CC .</w:t>
      </w:r>
    </w:p>
    <w:p>
      <w:r>
        <w:rPr>
          <w:b/>
        </w:rPr>
        <w:t>E. 1.2</w:t>
      </w:r>
    </w:p>
    <w:p>
      <w:r>
        <w:t>Rendue en matière civile ( art. 72 al. 1 LTF ) et sur recours, par une autorité supérieure statuant en dernière instance cantonale ( art. 75 LTF ), la décision entreprise est de nature non pécuniaire ( ATF 91 II 401 consid. 1; 127 III 481 consid. 1a; arrêt 5A_546/2019 du 5 février 2020 consid. 1); elle est finale en tant qu'elle déboute le recourant des fins de sa demande et met ainsi un terme définitif à la procédure ( art. 90 LTF ). Le recourant, qui a qualité pour recourir ( art. 76 al. 1 LTF ), a agi à temps ( art. 100 al. 1 LTF ). Le recours en matière civile est donc ouvert, à l'exclusion du recours constitutionnel subsidiaire ( art. 113 LTF ).</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 s ( ATF 146 IV 88 consid. 1.3.2; 145 V 215 consid. 1.1; 144 III 462 consid. 3.2.3).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 principe d'allégation ", art. 106 al. 2 LTF ; ATF 144 II 313 consid. 5.1; 142 II 369 consid. 2.1; 142 III 364 consid. 2.4).</w:t>
      </w:r>
    </w:p>
    <w:p>
      <w:r>
        <w:rPr>
          <w:b/>
        </w:rPr>
        <w:t>E. 2.2</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 139 II 233 consid. 3.2; arrêt 5A_368/2018 du 25 avril 2019 consid. 9.3).</w:t>
      </w:r>
    </w:p>
    <w:p>
      <w:r>
        <w:rPr>
          <w:b/>
        </w:rPr>
        <w:t>E. 3</w:t>
      </w:r>
    </w:p>
    <w:p>
      <w:r>
        <w:t>En tant qu'il est établi que seule la question de la légitimation passive des intimés à l'action en cessation de trouble selon les art. 28 ss CC était litigieuse devant l'instance cantonale d'appel, il n'y a pas lieu de s'arrêter aux critiques du recourant liées au défaut de légitimation passive des intimés dans le contexte d'une action fondée sur l' art. 679 CC - voire sur l' art. 928 CC -, qu'il n'a pas remis en doute devant la Cour de justice. De même, il n'y a pas lieu d'examiner les griefs d'interdiction de l'abus de droit et de déni de justice formel qui lui est prétendument lié en tant que ceux-ci sont développés en lien avec cette dernière action.</w:t>
      </w:r>
    </w:p>
    <w:p>
      <w:r>
        <w:rPr>
          <w:b/>
        </w:rPr>
        <w:t>E. 4</w:t>
      </w:r>
    </w:p>
    <w:p>
      <w:r>
        <w:t>Le recourant reproche à la cour cantonale un déni de justice en ce sens que celle-ci n'aurait pas analysé la question du cadre contractuel du litige opposant les parties et ses conséquences sur la légitimation passive des intimés.</w:t>
      </w:r>
    </w:p>
    <w:p>
      <w:r>
        <w:t>L'on ne saisit pas en quoi l'existence d'une convention entre les parties régissant l'usage et la répartition des frais d'utilisation du monte-charge aurait une incidence sur la légitimation passive des intimés à l'action en cessation du trouble. L'on relèvera néanmoins que la cour cantonale a souligné, à juste titre, que le litige portait sur les rapports internes entre les propriétaires d'étages: le conflit devait ainsi se régler en priorité au regard des règles spécifiques applicables à la propriété par étages, notamment des dispositions du règlement d'administration et d'utilisation. Le recourant pouvait ainsi, s'il s'y estimait fondé, solliciter une modification de l'art. 41b du règlement d'administration et d'utilisation en précisant les modalités d'utilisation du monte-personne.</w:t>
      </w:r>
    </w:p>
    <w:p>
      <w:r>
        <w:rPr>
          <w:b/>
        </w:rPr>
        <w:t>E. 5</w:t>
      </w:r>
    </w:p>
    <w:p>
      <w:r>
        <w:t>Le recourant reproche ensuite à la cour cantonale de ne pas avoir reconnu la légitimation passive des intimés à l'action en cessation de trouble selon les art. 28 ss CC .</w:t>
      </w:r>
    </w:p>
    <w:p>
      <w:r>
        <w:rPr>
          <w:b/>
        </w:rPr>
        <w:t>E. 5.1</w:t>
      </w:r>
    </w:p>
    <w:p>
      <w:r>
        <w:t>Contrairement à ce qu'avait retenu le Tribunal, la cour cantonale a considéré que, n'ayant pas allégué avoir subi une atteinte à sa personnalité, le recourant n'avait pas formé d'action en protection de la personnalité. Le Tribunal avait ainsi modifié l'objet du litige en substituant à la demande de l'intéressé un fondement différent de celui qu'il avait présenté, ce qui n'était pas conforme à la maxime des débats, ici applicable. La Cour de justice a par ailleurs souligné qu'en l'absence de toute allégation factuelle circonstanciée sur ce point, l'on ne pouvait considérer que les désagréments allégués par le recourant en raison de la présence du monte-personne litigieux léseraient ses droits de la personnalité. Le simple fait qu'il estimait que l'usage de celui-ci créait un danger potentiel ne suffisait pas à retenir l'existence d'une atteinte à la personnalité au sens de l' art. 28 CC . La cour cantonale a encore relevé que les conclusions tendant à astreindre les intimés à faire redescendre au rez-de-chaussée le monte-personne après chaque usage ne pouvaient se baser sur l' art. 41 CO , cette dernière disposition ne pouvant fonder le prononcé d'une injonction de faire mais permettant uniquement d'obtenir un montant à titre de dommages-intérêts; le recourant n'avait cependant pris aucune conclusion en ce sens.</w:t>
      </w:r>
    </w:p>
    <w:p>
      <w:r>
        <w:rPr>
          <w:b/>
        </w:rPr>
        <w:t>E. 5.2</w:t>
      </w:r>
    </w:p>
    <w:p>
      <w:r>
        <w:t>Il ressort des écritures du recourant devant la première autorité cantonale que celui-ci fondait son action sur la présence d'une situation illicite au sens de l' art. 41 CO , sans qu'il ne réclamât toutefois le versement de dommages-intérêts à ce titre, mais bien plutôt une injonction de faire. Le recourant ne critique pas à cet égard la motivation cantonale, ne démontrant par ailleurs nullement avoir formé une action en protection de la personnalité devant la première instance cantonale, ni ne contestant encore le fait que, selon la cour cantonale, le premier juge aurait dès lors modifié l'objet du litige en admettant l'allégation d'une atteinte à la personnalité. Pour ce motif déjà, ses critiques sont irrecevables (cf. supra consid. 2.2). Au surplus, l'essentiel de l'argumentation du recourant s'épuise dans l'affirmation que la présence du monte-personne dans l'escalier entraînerait un danger potentiel de chute ainsi qu'une entrave au secours imminents, sans toutefois établir en quoi la cour cantonale aurait estimé à tort que cette circonstance serait insuffisante à fonder une action en cessation de l'atteinte au sens de l' art. 28 CC , mais devrait au contraire s'examiner au regard des règles spécifiques à la propriété par étages.</w:t>
      </w:r>
    </w:p>
    <w:p>
      <w:r>
        <w:rPr>
          <w:b/>
        </w:rPr>
        <w:t>E. 5.3</w:t>
      </w:r>
    </w:p>
    <w:p>
      <w:r>
        <w:t>Le recourant voit enfin une violation de son droit d'être entendu dans le refus de l'autorité cantonale de donner suite à ses réquisitions de preuves destinées à démontrer le risque de chute et l'entrave à l'accès des secours. Cette critique - qui a trait en réalité à l'appréciation anticipée des preuves, invocable sous l'angle de l'arbitraire ( ATF 144 II 427 consdi. 3.1.3; 141 I 60 consid. 3.3) - est néanmoins dénuée de pertinence, vu les considérations qui viennent d'être développées.</w:t>
      </w:r>
    </w:p>
    <w:p>
      <w:r>
        <w:rPr>
          <w:b/>
        </w:rPr>
        <w:t>E. 6</w:t>
      </w:r>
    </w:p>
    <w:p>
      <w:r>
        <w:t>En définitive, les recours sont tous deux irrecevables. Les frais judiciaires sont à la charge du recourant ( art. 66 al. 1 LTF ). Aucune indemnité de dépens n'est allouée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