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901/2011 vom 4. April 2012</w:t>
      </w:r>
    </w:p>
    <w:p>
      <w:r>
        <w:t>Bundesgericht, 2012-04-04, FR</w:t>
      </w:r>
    </w:p>
    <w:p>
      <w:r>
        <w:rPr>
          <w:b/>
        </w:rPr>
        <w:t xml:space="preserve">Quelle: </w:t>
      </w:r>
      <w:r>
        <w:t>https://mcp.opencaselaw.ch/entscheid/bger_5A_901_2011</w:t>
      </w:r>
    </w:p>
    <w:p>
      <w:r>
        <w:t>FR: TF 5A 901/2011 du 4 avril 2012</w:t>
      </w:r>
    </w:p>
    <w:p>
      <w:r>
        <w:t>IT: TF 5A 901/2011 del 4 aprile 2012</w:t>
      </w:r>
    </w:p>
    <w:p>
      <w:pPr>
        <w:pStyle w:val="Heading2"/>
      </w:pPr>
      <w:r>
        <w:t>Regeste</w:t>
      </w:r>
    </w:p>
    <w:p>
      <w:r>
        <w:t>mesures provisionnelles dans le cadre d'une action en révocation | Droit des poursuites et faillites</w:t>
      </w:r>
    </w:p>
    <w:p>
      <w:pPr>
        <w:pStyle w:val="Heading2"/>
      </w:pPr>
      <w:r>
        <w:t>Erwägungen</w:t>
      </w:r>
    </w:p>
    <w:p>
      <w:r>
        <w:rPr>
          <w:b/>
        </w:rPr>
        <w:t>E. 1</w:t>
      </w:r>
    </w:p>
    <w:p>
      <w:r>
        <w:t>Les saisies conservatoires de la cédule n° yyyy et du produit de la gérance légale de l'immeuble n° xx sont des mesures provisionnelles aux effets limités à la durée du procès entrepris par la demanderesse le 26 mai 2008; le prononcé qui les ordonne est donc une décision incidente assujettie à l' art. 93 al. 1 LTF ( ATF 137 III 324 consid. 1.1 p. 327/328; 134 I 83 consid. 3.1 p. 86/87). La recevabilité du recours en matière civile suppose que cette décision soit de nature à causer un préjudice irréparable aux termes de l' art. 93 al. 1 let. a LTF . Un préjudice de ce genre n'est réalisé que lorsque la partie recourante subit un dommage qu'une décision favorable sur le fond ne fera pas disparaître complètement; il faut en outre un dommage de nature juridique, tandis qu'un inconvénient seulement matériel est insuffisant ( ATF 134 III 188 consid. 2.2 p. 191; 133 III 629 consid. 2.3.1 p. 632; 131 I 57 consid. 1 p. 59). Les mesures litigieuses empêchent le défendeur de disposer de la cédule hypothécaire ou des droits qui en dérivent depuis que celle-ci a été dénoncée au remboursement, et, au moins provisoirement, ces mesures l'empêchent aussi de profiter des répartitions périodiques du produit net de la gérance légale que l'office des poursuites doit exécuter d'abord en faveur du créancier gagiste d'après l'art. 22 al. 1 de l'ordonnance sur la réalisation forcée des immeubles. Or, selon la jurisprudence, le blocage même temporaire de valeurs patrimoniales constitue un préjudice juridique irréparable ( ATF 128 II 353 consid. 3 p. 354; 126 I 97 consid. 1b p. 101; 96 I 629 consid. 2b p. 634). Le recours est donc recevable au regard de l' art. 93 al. 1 let. a LTF . Par ailleurs, le recours est dirigé contre une décision rendue en dernière instance cantonale ( art. 75 al. 1 LTF ) et susceptible du recours en matière civile ( art. 72 al. 2 let. a LTF ). Son auteur a pris part à l'instance précédente et succombé dans ses conclusions ( art. 76 al. 1 LTF ). La valeur litigieuse excède le minimum légal de 30'000 fr. ( art. 51 al. 1 let . c et 74 al. 1 let. b LTF); le mémoire de recours a été introduit en temps utile ( art. 100 al. 1 LTF ) et il satisfait aux exigences légales (art. 42 al. 1 à 3 LTF). Contre une décision portant sur des mesures provisionnelles, le recours n'est recevable que pour violation des droits constitutionnels ( art. 98 LTF ). Le Tribunal fédéral ne se saisit que des griefs soulevés et motivés de façon détaillée par la partie recourante ( art. 106 al. 2 LTF ; ATF 134 I 83 consid. 3.2 p. 88; 134 II 244 consid. 2.2 p. 246; 133 III 439 consid. 3.2 p. 444).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w:t>
      </w:r>
    </w:p>
    <w:p>
      <w:r>
        <w:rPr>
          <w:b/>
        </w:rPr>
        <w:t>E. 2</w:t>
      </w:r>
    </w:p>
    <w:p>
      <w:r>
        <w:t>Le défendeur invoque surtout l' art. 9 Cst. pour se plaindre d'une application prétendument arbitraire de l' art. 261 al. 1 CPC relatif aux mesures provisionnelles. Cette disposition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136 II 489 consid. 2.8 p. 494).</w:t>
      </w:r>
    </w:p>
    <w:p>
      <w:r>
        <w:rPr>
          <w:b/>
        </w:rPr>
        <w:t>E. 3</w:t>
      </w:r>
    </w:p>
    <w:p>
      <w:r>
        <w:t>Le défendeur invoque aussi l' art. 29 al. 2 Cst. pour soutenir que la Cour de justice a violé son droit d'être entendu en omettant de discuter certains de ses arguments dans la motivation de son prononcé. 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136 I 265 consid. 3.2 p. 272; 135 II 286 consid. 5.1 p. 293; 133 I 270 consid. 3.1 p. 277). La disposition précitée confère également le droit d'exiger, en principe, qu'une telle décision soit motivée. Cette garantie-ci tend à donner à la personne touchée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107 consid. 2b p. 109; voir aussi ATF 136 I 229 consid. 5.2 p. 236; 135 III 670 consid. 3.3.1 p. 677).</w:t>
      </w:r>
    </w:p>
    <w:p>
      <w:r>
        <w:rPr>
          <w:b/>
        </w:rPr>
        <w:t>E. 4</w:t>
      </w:r>
    </w:p>
    <w:p>
      <w:r>
        <w:t>Au regard de l' art. 261 al. 1 CPC , la partie qui requiert des mesures provisionnelles doit rendre vraisemblable, notamment, la prétention dont elle fait état (François Bohnet, in Code de procédure civile commenté, 2011, n° 3 ad art. 261 CPC ).</w:t>
      </w:r>
    </w:p>
    <w:p>
      <w:r>
        <w:rPr>
          <w:b/>
        </w:rPr>
        <w:t>E. 4.1</w:t>
      </w:r>
    </w:p>
    <w:p>
      <w:r>
        <w:t>En matière de poursuite pour dettes, le créancier porteur d'un acte de défaut de biens après saisie, provisoire ou définitif, a le droit de demander la révocation de tous actes accomplis par le débiteur dans l'intention de porter préjudice à ses créanciers ou de favoriser certains créanciers au détriment des autres, si cette intention était reconnaissable par l'autre partie et que ces actes sont intervenus dans les cinq ans qui ont précédé la saisie ( art. 285 al. 2 ch. 1, 288 LP ). La révocation a pour effet que les biens reçus par la personne recherchée doivent être restitués pour être saisis et réalisés en faveur du créancier ( art. 291 al. 1 LP ; Henry Peter, in Commentaire romand, 2005, n° 3 ad art. 291 LP ; Thomas Bauer, in Commentaire bâlois, 2010, nos 8 à 10 ad art. 291 LP ). En l'espèce, la demanderesse prétend à la restitution de la cédule n° yyyy et du produit de la gérance légale de l'immeuble n° xx de la commune de Founex. Il est constant que cette partie détient un acte de défaut de biens provisoire contre A.________, et la Cour de justice tient pour vraisemblable que la remise de ce titre hypothécaire au défendeur, par A.________, soit révocable selon l' art. 288 LP . La Cour se réfère à des déclarations de A.________ consignées au procès-verbal du 22 décembre 2005, d'une part, et à des déclarations du défendeur recueillies dans l'enquête pénale le 23 mai 2007, d'autre part; il en ressort que celui-ci a réclamé une cédule et que celui-là a exaucé cette demande en raison de la poursuite exercée par la demanderesse, dans la commune intention que la prétention du défendeur, ayant pour objet le remboursement de prêts, fût sauvegardée nonobstant la saisie immobilière qui était imminente.</w:t>
      </w:r>
    </w:p>
    <w:p>
      <w:r>
        <w:rPr>
          <w:b/>
        </w:rPr>
        <w:t>E. 4.2</w:t>
      </w:r>
    </w:p>
    <w:p>
      <w:r>
        <w:t>A l'appui du recours en matière civile, le défendeur fait état de deux reconnaissances de dette souscrites par A.________, datées du 12 avril 2000 et du 3 décembre 2001, où celui-ci promettait déjà, sous certaines modalités et conditions, de remettre une cédule hypothécaire en garantie du remboursement de sommes prêtées. Il soutient que cette promesse est intervenue déjà avant le commencement du délai de cinq ans prévu par l' art. 288 LP et il reproche à la Cour de justice de n'avoir pas pris ces documents en considération. L'action révocatoire a pour but de soumettre à l'exécution forcée des biens qui lui ont été indûment soustraits ( art. 285 al. 1 LP ). En cas de saisies multiples dans la poursuite concernée, afin que tous les biens qui eussent dû être appréhendés dans l'une ou l'autre de ces saisies soient enfin soumis à l'exécution forcée par l'effet de la révocation, il s'impose que chacune d'elles, indépendamment des autres, termine un délai de cinq ans selon l' art. 288 LP . L'annotation de la restriction du droit d'aliéner les quinze parts de copropriété appartenant à A.________ est intervenue le 28 juillet 2004. La saisie de ces mêmes parts a nécessairement été accomplie avant, de sorte qu'un délai de cinq ans à couru au plus tard dès le 27 juillet 1999. Ainsi, le moyen tiré des reconnaissances de dette se révèle d'emblée inconsistant. La Cour de justice pouvait donc l'écarter sans arbitraire; de plus, contrairement à l'argumentation soumise au Tribunal fédéral, le droit d'être entendu n'imposait pas une discussion dudit moyen dans les motifs de l'arrêt.</w:t>
      </w:r>
    </w:p>
    <w:p>
      <w:r>
        <w:rPr>
          <w:b/>
        </w:rPr>
        <w:t>E. 4.3</w:t>
      </w:r>
    </w:p>
    <w:p>
      <w:r>
        <w:t>L'action révocatoire vise des biens déterminés qui ont indûment échappé à une saisie; les règles sur le séquestre, aussi invoquées par le défendeur, et surtout l' art. 271 al. 1 LP qui énumère limitativement les cas de séquestre, n'excluent donc pas que cette action puisse être garantie par des mesures provisionnelles.</w:t>
      </w:r>
    </w:p>
    <w:p>
      <w:r>
        <w:rPr>
          <w:b/>
        </w:rPr>
        <w:t>E. 4.4</w:t>
      </w:r>
    </w:p>
    <w:p>
      <w:r>
        <w:t>Pour le surplus, le défendeur ne conteste pas sérieusement que l'on puisse voir, dans ses propres déclarations et dans celles de A.________, relevées par la Cour, l'indice d'une volonté commune de favoriser un créancier, le défendeur, au détriment d'un autre, la demanderesse. Il discute longuement de nombreux éléments de l'affaire. En particulier, il argue de la poursuite pénale dont l'issue s'est révélée défavorable à la demanderesse. Or, le Tribunal fédéral ne trouve guère sur quels points le défendeur reproche réellement aux précédents juges, sinon par de simples protestations, d'avoir commis une erreur certaine ou de s'être livrés à une appréciation absolument insoutenable. Ces développements tendent plutôt à substituer une appréciation différente de celle de l'autorité précédente; ils sont donc irrecevables faute de satisfaire aux exigences applicables à la motivation du grief d'arbitraire.</w:t>
      </w:r>
    </w:p>
    <w:p>
      <w:r>
        <w:rPr>
          <w:b/>
        </w:rPr>
        <w:t>E. 5</w:t>
      </w:r>
    </w:p>
    <w:p>
      <w:r>
        <w:t>La partie qui requiert des mesures provisionnelles doit aussi rendre vraisemblable l'atteinte dont sa prétention est menacée, et le préjudice difficilement réparable qui pourrait résulter de cette atteinte (Bohnet, ibidem). L'atteinte peut notamment consister dans l'impossibilité d'obtenir l'exécution en nature de la prétention concernée (Bohnet, loc. cit., n° 11). Les restitutions de la cédule et du produit de la gérance légale seraient évidemment compromises si le défendeur n'était pas empêché de disposer de ces biens jusqu'à droit connu sur l'action révocatoire. Le résultat de l'exécution forcée s'en trouverait diminué. Les menaces d'une atteinte à la prétention de la demanderesse et du préjudice qui s'ensuivrait sont donc indiscutables. Contrairement à l'opinion du défendeur, il importe peu que celui-ci devienne débiteur de la valeur des biens concernés dans l'hypothèse où, notamment par suite d'une aliénation, il serait incapable de les restituer en nature (cf. art. 291 al. 1 LP ; ATF 135 III 513 consid. 9.1 p. 530; 132 III 489 consid. 3.3 p. 494). Vainement aussi, il reproche à la Cour de justice d'avoir violé son droit d'être entendu en s'abstenant d'énoncer ces évidences.</w:t>
      </w:r>
    </w:p>
    <w:p>
      <w:r>
        <w:rPr>
          <w:b/>
        </w:rPr>
        <w:t>E. 6</w:t>
      </w:r>
    </w:p>
    <w:p>
      <w:r>
        <w:t>Le recours se révèle privé de fondement, dans la mesure où les griefs présentés sont recevables. A titre de partie qui succombe, son auteur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