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5A_900/2025 vom 8. Januar 2026</w:t>
      </w:r>
    </w:p>
    <w:p>
      <w:r>
        <w:t>Bundesgericht, 2026-01-08, DE</w:t>
      </w:r>
    </w:p>
    <w:p>
      <w:r>
        <w:rPr>
          <w:b/>
        </w:rPr>
        <w:t xml:space="preserve">Quelle: </w:t>
      </w:r>
      <w:r>
        <w:t>https://mcp.opencaselaw.ch/entscheid/bger_5A_900_2025</w:t>
      </w:r>
    </w:p>
    <w:p>
      <w:r>
        <w:t>FR: TF 5A_900/2025 du 8 janvier 2026</w:t>
      </w:r>
    </w:p>
    <w:p>
      <w:r>
        <w:t>IT: TF 5A_900/2025 del 8 gennaio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Zufolge des erklärten Beschwerderückzuges ist das Beschwerdeverfahren 5A_900/2025 durch den Abteilungspräsidenten als erledigt abzuschreiben ( Art. 32 Abs. 2 BGG ).</w:t>
      </w:r>
    </w:p>
    <w:p>
      <w:r>
        <w:rPr>
          <w:b/>
        </w:rPr>
        <w:t>E. 2</w:t>
      </w:r>
    </w:p>
    <w:p>
      <w:r>
        <w:t>Die bislang angefallenen Gerichtskosten sind dem Beschwerdeführer aufzuerlegen ( Art 66 Abs. 1 BGG ). Sodann hat er ausgangsgemäss die Beschwerdegegnerin für die Stellungnahme zum Gesuch um aufschiebende Wirkung, welche mit Verfügung vom 13. November 2025 verweigert wurde, zu entschädigen ( Art. 68 Abs. 2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