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5A_8/2021 vom 15. April 2021</w:t>
      </w:r>
    </w:p>
    <w:p>
      <w:r>
        <w:t>Bundesgericht, 2021-04-15, FR</w:t>
      </w:r>
    </w:p>
    <w:p>
      <w:r>
        <w:rPr>
          <w:b/>
        </w:rPr>
        <w:t xml:space="preserve">Quelle: </w:t>
      </w:r>
      <w:r>
        <w:t>https://mcp.opencaselaw.ch/entscheid/bger_5A_8_2021</w:t>
      </w:r>
    </w:p>
    <w:p>
      <w:r>
        <w:t>FR: TF 5A_8/2021 du 15 avril 2021</w:t>
      </w:r>
    </w:p>
    <w:p>
      <w:r>
        <w:t>IT: TF 5A_8/2021 del 15 aprile 2021</w:t>
      </w:r>
    </w:p>
    <w:p>
      <w:pPr>
        <w:pStyle w:val="Heading2"/>
      </w:pPr>
      <w:r>
        <w:t>Erwägungen</w:t>
      </w:r>
    </w:p>
    <w:p>
      <w:r>
        <w:rPr>
          <w:b/>
        </w:rPr>
        <w:t>E. 1</w:t>
      </w:r>
    </w:p>
    <w:p>
      <w:r>
        <w:t>Le recours a été déposé dans le délai légal ( art. 100 al. 2 let. a LTF ) contre une décision finale ( art. 90 LTF ; arrêt 5A_188/2010 du 30 avril 2010 consid. 1, publié</w:t>
      </w:r>
    </w:p>
    <w:p>
      <w:r>
        <w:t>in Pra 2010 n° 132 p. 865), rendue en matière de poursuite pour dettes et faillite ( art. 72 al. 2 let. a LTF ), par une autorité de surveillance statuant en dernière (unique) instance cantonale ( art. 75 al. 1 LTF ). Il est ouvert indépendamment de la valeur litigieuse ( art. 74 al. 2 let . c LTF). Le recourant, qui a succombé devant l'autorité cantonale et a un intérêt digne de protection à la modification de la décision entreprise, a qualité pour recourir ( art. 76 al. 1 LTF ).</w:t>
      </w:r>
    </w:p>
    <w:p>
      <w:r>
        <w:rPr>
          <w:b/>
        </w:rPr>
        <w:t>E. 2.1</w:t>
      </w:r>
    </w:p>
    <w:p>
      <w:r>
        <w:t>La nature de la mesure attaquée, provisionnelle ou non, se pose (sur cette controverse: cf. BRACONI, Le contentieux des mesures provisionnelles au Tribunal fédéral en matière de poursuite pour dettes et faillite,</w:t>
      </w:r>
    </w:p>
    <w:p>
      <w:r>
        <w:t>in Mélanges à la mémoire de Bernard Corboz, 2019, p. 317 ss [324 n° 11]; cf. aussi sur les décisions des offices de poursuites: ATF 146 III 303 consid. 2). Le Tribunal fédéral a retenu dans ses plus récents arrêts l'application de l' art. 98 LTF à la saisie provisoire (cf. arrêts 5A_188/2010 précité et les références; arrêt 5A_361/2015 du 28 janvier 2016 consid. 1.2, publié</w:t>
      </w:r>
    </w:p>
    <w:p>
      <w:r>
        <w:t>in RtiD 2016 II p. 677; cf. toutefois: arrêts 5A_692/2008 du 18 novembre 2008 consid. 2.1; 5A_487/2009 du 12 octobre 2009 consid. 1.2). Cela étant, le recourant ne soulevant que des griefs de nature constitutionnelle, la question n'a pas à être tranchée.</w:t>
      </w:r>
    </w:p>
    <w:p>
      <w:r>
        <w:rPr>
          <w:b/>
        </w:rPr>
        <w:t>E. 2.2</w:t>
      </w:r>
    </w:p>
    <w:p>
      <w:r>
        <w:t>Le Tribunal fédéral ne connaît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2.3</w:t>
      </w:r>
    </w:p>
    <w:p>
      <w:r>
        <w:t>Le Tribunal fédéral statue sur la base des faits tels qu'établis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précité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conséquence, en tant que le recourant se contente de relater les faits, la partie " Faits " de son recours sera ignorée dans la mesure où elle s'écarte de la décision attaquée.</w:t>
      </w:r>
    </w:p>
    <w:p>
      <w:r>
        <w:rPr>
          <w:b/>
        </w:rPr>
        <w:t>E. 3</w:t>
      </w:r>
    </w:p>
    <w:p>
      <w:r>
        <w:t>L'autorité de surveillance a retenu tout d'abord que la réquisition de saisie provisoire n'était pas nulle au motif qu'elle mentionnait en qualité de créancière " hoirie de feu C.________, soit pour elle B.________ ". En effet, la créancière avait mentionné clairement son nom, en tant que seule héritière. Elle a considéré que l'avis de saisie n'était pas nul non plus parce qu'il utilisait l'expression simplifiée " hoirie de feu C.________ ", vu que tous les acteurs de la poursuite avaient bien compris, à ce stade de la poursuite, qu'elle faisait référence à B.________, même si elle était à l'évidence erronée. Elle a ensuite jugé que l'absence de mention de la nature provisoire ou définitive de la saisie envisagée par l'office n'entachait en rien la validité de l'avis de saisie, car dite mention n'était pas obligatoire; de même, celle que le débiteur pouvait mettre fin à la poursuite en payant la somme réclamée n'était certes ni opportune ni cohérente dans la saisie provisoire, pour un débiteur qui intente une action en libération de dette, mais elle n'était pas non plus illégale ni totalement inadéquate dès lors qu'elle correspondait bien à une possibilité de mettre fin à la poursuite immédiatement. L'autorité de surveillance a encore rappelé que le créancier qui requiert la saisie provisoire de l' art. 83 LP n'a pas à justifier que la mesure serait nécessaire et que l'office saisi d'une telle réquisition n'a aucune marge de manoeuvre et ne peut introduire des considérations d'opportunité dans la décision. Elle a enfin considéré que les circonstances exceptionnelles exigées en jurisprudence pour retenir la nullité d'une poursuite pour abus de droit n'existaient pas, le seul sentiment d'être confronté à une mesure vexatoire ou disproportionnée n'étant pas suffisant.</w:t>
      </w:r>
    </w:p>
    <w:p>
      <w:r>
        <w:rPr>
          <w:b/>
        </w:rPr>
        <w:t>E. 4</w:t>
      </w:r>
    </w:p>
    <w:p>
      <w:r>
        <w:t>Le recourant se plaint de la violation de son droit d'être entendu sous l'angle de l'obligation de motiver les décisions de justice ( art. 29 al. 2 Cst. ; 6 et 13 CEDH ; 2 al. 3 et 14 Pacte ONU II , 40 al. 2 Cst./GE).</w:t>
      </w:r>
    </w:p>
    <w:p>
      <w:r>
        <w:rPr>
          <w:b/>
        </w:rPr>
        <w:t>E. 4.1</w:t>
      </w:r>
    </w:p>
    <w:p>
      <w:r>
        <w:t>Il soutient qu'il avait indiqué dans sa plainte que la saisie provisoire ordonnée le 18 août 2020 avait pour conséquence de faire pression sur lui et de l'humilier, et ce, en violation du droit à un procès équitable et du droit à la vie privée et au respect du domicile ainsi que des libertés économiques. Or, selon lui, les juges précédents ont failli à leur obligation de traiter ces griefs dont ils ne disent strictement rien, se bornant à analyser l' art. 83 al. 1 LP sans confronter leur interprétation au droit supérieur. Il relève toutefois lui-même que la cour a " parfaitement perçu la quintessence de cette argumentation puisqu'elle l'a elle-même résumée " en page 3 de son arrêt.</w:t>
      </w:r>
    </w:p>
    <w:p>
      <w:r>
        <w:rPr>
          <w:b/>
        </w:rPr>
        <w:t>E. 4.2.1</w:t>
      </w:r>
    </w:p>
    <w:p>
      <w:r>
        <w:t>L' art. 6 CEDH n'offre pas de protection plus étendue que l' art. 29 al. 2 Cst. (cf. arrêt 1C_202/2020 du 17 février 2021 consid. 3.1; cf. également ATF 143 IV 373 consid. 1.3.1; 130 I 312 consid. 5.1), de sorte que le grief sera examiné à l'aune de ce dernier article.</w:t>
      </w:r>
    </w:p>
    <w:p>
      <w:r>
        <w:rPr>
          <w:b/>
        </w:rPr>
        <w:t>E. 4.2.2</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4.3</w:t>
      </w:r>
    </w:p>
    <w:p>
      <w:r>
        <w:t>En l'espèce, le recourant relève lui-même que l'autorité cantonale a tenu compte du fait qu'il se plaignait de la pression et de l'humiliation que représentait la mesure attaquée et a traité ses griefs en motivant sa décision sur la base de l' art. 83 al. 1 LP . A l'évidence, cette motivation est suffisante au regard de la jurisprudence précitée. Il suit de là que le grief doit être rejeté.</w:t>
      </w:r>
    </w:p>
    <w:p>
      <w:r>
        <w:rPr>
          <w:b/>
        </w:rPr>
        <w:t>E. 5.1</w:t>
      </w:r>
    </w:p>
    <w:p>
      <w:r>
        <w:t>Le recourant semble, dans la critique précitée (cf.</w:t>
      </w:r>
    </w:p>
    <w:p>
      <w:r>
        <w:t>supra consid. 4.1), également remettre en cause la constitutionnalité de l' art. 83 al. 1 LP . Toutefois, en vertu de l' art. 190 LTF , le Tribunal fédéral et les autres autorités sont tenus d'appliquer les lois fédérales. Cette disposition interdit de refuser d'appliquer celles-ci que ce soit par le biais d'un contrôle abstrait ou d'un contrôle concret. Seul un examen préjudiciel de conformité à la Constitution d'une loi fédérale peut se justifier ( ATF 141 II 338 consid. 3.1; 136 I 49 consid. 3.1 et les références). Or, non seulement le recourant ne réclame pas un tel contrôle, mais celui-ci n'a lieu que si les circonstances le justifient, ce qui n'est manifestement pas le cas en l'espèce.</w:t>
      </w:r>
    </w:p>
    <w:p>
      <w:r>
        <w:t>Il suit de là que le grief doit être rejeté.</w:t>
      </w:r>
    </w:p>
    <w:p>
      <w:r>
        <w:rPr>
          <w:b/>
        </w:rPr>
        <w:t>E. 5.2.1</w:t>
      </w:r>
    </w:p>
    <w:p>
      <w:r>
        <w:t>Le recourant se plaint de la violation de l' art. 36 Cst. en tant que l'atteinte qu'il a subie au respect de sa vie privée et du domicile ( art. 13 Cst. , 8 CEDH et 17 Pacte ONU II) ainsi qu'à ses libertés économiques (art. 26 s. Cst.) viole le principe de la proportionnalité. Il soutient que la mesure implique la récolte de données introduites dans les fichiers de l'État, qui peuvent être communiquées à des tiers, cause une atteinte à son image et entrave son évolution dans le monde des affaires. Il concède que l' art. 83 LP constitue une base légale à cette mesure et que celle-ci poursuit un intérêt public. En revanche, il soutient que la mesure viole le principe de la proportionnalité au motif que, au vu de son abondant patrimoine, il n'existe aucun élément ni aucune circonstance qui laisserait à penser qu'il ne serait pas en mesure de faire face à ses obligations s'il perdait le procès au fond et devait verser la somme de 400'000 fr.</w:t>
      </w:r>
    </w:p>
    <w:p>
      <w:r>
        <w:rPr>
          <w:b/>
        </w:rPr>
        <w:t>E. 5.2.2.1</w:t>
      </w:r>
    </w:p>
    <w:p>
      <w:r>
        <w:t>A titre liminaire il convient de noter que le recourant ne prétend pas que l' art. 8 CEDH lui offrirait une protection plus étendue que les art. 13, 26 s. et 36 Cst. (cf. ATF 126 II 377 consid. 7; 129 II 215 consid. 4.2; arrêt 5A_848/2018 du 16 novembre 2018 consid. 6), de sorte que le mérite des griefs doit être examiné sous l'angle de la violation de l' art. 36 Cst. en lien avec ces dernières dispositions (arrêt 5A_440/2011 du 25 octobre 2011 consid. 2.4).</w:t>
      </w:r>
    </w:p>
    <w:p>
      <w:r>
        <w:rPr>
          <w:b/>
        </w:rPr>
        <w:t>E. 5.2.2.2</w:t>
      </w:r>
    </w:p>
    <w:p>
      <w:r>
        <w:t>Lorsque la mainlevée provisoire a été accordée, le créancier peut, passé le délai de paiement et suivant la qualité du débiteur, requérir la saisie provisoire (cf. art. 83 al. 1 LP ).</w:t>
      </w:r>
    </w:p>
    <w:p>
      <w:r>
        <w:t>En effet, une fois qu'il a obtenu la mainlevée provisoire sur la base de son titre, le créancier acquiert, en raison de la vraisemblance de sa prétention, une protection particulière, indépendamment de son droit au paiement, raison pour laquelle il peut requérir la saisie provisoire. Ce n'est qu'en cas de rejet de l'action en libération de dette que la saisie provisoire devient définitive ( art. 83 al. 3 LP ) et que le créancier peut requérir la vente ( art. 118 LP ; arrêt 7B.8/2006 du 6 mars 2006 consid. 3.2.1 et 3.2.2). L'esprit et le but de cette saisie ainsi que la systématique de la loi sont que, la mainlevée provisoire n'écartant l'opposition que conditionnellement, il faut donner au créancier, pendant la suspension, c'est-à-dire pendant que court le délai de l'action en libération de dette et jusqu'à ce que le procès en libération de dette soit réglé, un moyen de garantir sa prétention à l'exécution forcée ( ATF 122 III 36 consid. 2).</w:t>
      </w:r>
    </w:p>
    <w:p>
      <w:r>
        <w:rPr>
          <w:b/>
        </w:rPr>
        <w:t>E. 5.2.3</w:t>
      </w:r>
    </w:p>
    <w:p>
      <w:r>
        <w:t>En l'espèce, le recourant ne s'en prend nullement aux conditions d'application de l' art. 83 al. 1 LP telles que les a correctement exposées l'autorité cantonale. Il ne fait que prétendre, en se fondant sur de vagues suppositions sur l'étendue de son patrimoine, qu'il serait disproportionné, par rapport à l'atteinte portée à ses propres droits (droit à la vie privée [ art. 13 Cst. ] et entrave aux libertés économiques [art. 26 s. Cst.]), de mettre en oeuvre la saisie provisoire. Par cette critique, il ne vise qu'à remettre en cause abstraitement la pesée des intérêts déjà opérée par le législateur fédéral, qui a retenu que l'apparence du droit du créancier qui a obtenu la mainlevée provisoire mérite une protection particulière par rapport aux droits du débiteur. Or, comme dit précédemment, le Tribunal fédéral est tenu d'appliquer le droit fédéral (cf.</w:t>
      </w:r>
    </w:p>
    <w:p>
      <w:r>
        <w:t>supra consid. 5.1). Il suit de là que ses griefs doivent être rejetés, dans la mesure où ils sont recevables.</w:t>
      </w:r>
    </w:p>
    <w:p>
      <w:r>
        <w:rPr>
          <w:b/>
        </w:rPr>
        <w:t>E. 6</w:t>
      </w:r>
    </w:p>
    <w:p>
      <w:r>
        <w:t>Le recourant se plaint en dernier lieu de la violation des art. 29 ss Cst. , 6 CEDH et 14 Pacte ONU II, qui garantissent un procès équitable. Il soutient qu'il doit se battre sur deux fronts, soit contre la partie adverse et contre la saisie provisoire, et que cette dernière mesure lui fait subir une pression pour qu'il acquiesce aux conclusions de la partie adverse.</w:t>
      </w:r>
    </w:p>
    <w:p>
      <w:r>
        <w:t>A nouveau, une telle argumentation ne fait que remettre en cause, sur la base d'un sentiment de justice personnel et sans aucun argument convaincant, le système instauré par la LP. Il s'ensuit que, appellatoire, le grief doit être déclaré irrecevable, étant en outre rappelé que l' art. 6 CEDH n'offre pas de protection plus étendue que les art. 29 ss Cst. (cf.</w:t>
      </w:r>
    </w:p>
    <w:p>
      <w:r>
        <w:t>supra consid. 4.2.1).</w:t>
      </w:r>
    </w:p>
    <w:p>
      <w:r>
        <w:rPr>
          <w:b/>
        </w:rPr>
        <w:t>E. 7</w:t>
      </w:r>
    </w:p>
    <w:p>
      <w:r>
        <w:t>En définitive, le recours est rejeté, dans la mesure où il est recevable. Les conclusions du recourant étant d'emblée vouées à l'échec, il n'a pas droit à l'assistance judiciaire ( art. 64 al. 1 LTF ). Les frais judiciaires, arrêtés à 2'000 fr., sont mis à la charge du recourant ( art. 66 al. 1 LTF ).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