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89/2011 vom 1. September 2011</w:t>
      </w:r>
    </w:p>
    <w:p>
      <w:r>
        <w:t>Bundesgericht, 2011-09-01, FR</w:t>
      </w:r>
    </w:p>
    <w:p>
      <w:r>
        <w:rPr>
          <w:b/>
        </w:rPr>
        <w:t xml:space="preserve">Quelle: </w:t>
      </w:r>
      <w:r>
        <w:t>https://mcp.opencaselaw.ch/entscheid/bger_5A_89_2011</w:t>
      </w:r>
    </w:p>
    <w:p>
      <w:r>
        <w:t>FR: TF 5A 89/2011 du 1 septembre 2011</w:t>
      </w:r>
    </w:p>
    <w:p>
      <w:r>
        <w:t>IT: TF 5A 89/2011 del 1 settembre 2011</w:t>
      </w:r>
    </w:p>
    <w:p>
      <w:pPr>
        <w:pStyle w:val="Heading2"/>
      </w:pPr>
      <w:r>
        <w:t>Regeste</w:t>
      </w:r>
    </w:p>
    <w:p>
      <w:r>
        <w:t>annulation d'un testament | Droit des successions</w:t>
      </w:r>
    </w:p>
    <w:p>
      <w:pPr>
        <w:pStyle w:val="Heading2"/>
      </w:pPr>
      <w:r>
        <w:t>Erwägungen</w:t>
      </w:r>
    </w:p>
    <w:p>
      <w:r>
        <w:rPr>
          <w:b/>
        </w:rPr>
        <w:t>E. 1</w:t>
      </w:r>
    </w:p>
    <w:p>
      <w:r>
        <w:t>L'arrêt attaqué du Tribunal cantonal neuchâtelois ayant été rendu et expédié aux parties en 2010, il n'est pas soumis au Code de procédure civile du 19 décembre 2008 (CPC, RS 272), entré en vigueur le 1er janvier 2011 ( ATF 137 III 130 consid. 2 p. 131 s.). Le droit transitoire relatif aux art. 75 al. 2 et 111 al. 3 LTF, tel que prévu par l' art. 130 al. 2 LTF , demeure donc applicable. Le recours en matière civile est dirigé contre une décision finale ( art. 90 LTF ) rendue en matière successorale ( art. 72 al. 1 LTF ) par une autorité cantonale ayant statué en dernière (unique) instance ( art. 75 LTF ). En vertu de l' art. 46 al. 1 let . c LTF, les délais de recours fixés en jours par la loi ne courent pas du 18 décembre au 2 janvier inclus (arrêt 2C_174/2008 du 29 février 2008 consid. 2.1), le recours est ainsi exercé dans le délai ( art. 100 al. 1 LTF ) et la forme ( art. 42 LTF ) prévus par la loi, par une partie qui a succombé dans ses conclusions devant l'autorité précédente ( art. 76 al. 1 LTF ). Par ailleurs, s'agissant d'une affaire pécuniaire, la valeur litigieuse minimale de 30'000 fr. est atteinte ( art. 74 al. 1 let. b LTF ). Le recours est donc recevable en principe.</w:t>
      </w:r>
    </w:p>
    <w:p>
      <w:r>
        <w:rPr>
          <w:b/>
        </w:rPr>
        <w:t>E. 2.1</w:t>
      </w:r>
    </w:p>
    <w:p>
      <w:r>
        <w:t>L'examen d'un recours suppose que le recourant ait un intérêt matériel à l'annulation ou à la modification du dispositif du jugement attaqué. Il s'agit d'une condition de droit matériel qui ne se confond pas avec la qualité pour recourir (arrêt 5P.331/2002 du 12 décembre 2002 consid. 1.2.2). Il ne suffit pas que le recourant soit formellement lésé, encore faut-il qu'il le soit matériellement ( ATF 120 II 5 consid. 2a p. 7 s.). Pour que le recourant soit matériellement lésé, il faut que, selon son argumentation, il apparaisse atteint dans sa situation juridique ( ATF 129 III 689 consid. 1.2 p. 691; ATF 107 II 504 consid. 3 p. 506; arrêt 5P.331/2002 du 12 décembre 2002 consid. 1.2.2). L'admission du recours doit être susceptible d'améliorer le sort personnel du recourant ( ATF 120 II 5 consid. 2a p. 7 s.; ATF 116 II 721 consid. 6 p. 729).</w:t>
      </w:r>
    </w:p>
    <w:p>
      <w:r>
        <w:rPr>
          <w:b/>
        </w:rPr>
        <w:t>E. 2.1.1</w:t>
      </w:r>
    </w:p>
    <w:p>
      <w:r>
        <w:t>Dans le cadre spécifique de l'action en nullité du testament ( art. 519 CC ), la jurisprudence et la doctrine unanime ont admis que l'intérêt matériel à la déclaration de nullité se mesure aux effets que produira le jugement, notamment en faveur de quelles personnes il créera un droit (PAUL PIOTET, Droit successoral, Traité de droit privé suisse IV, 1975, p. 253; ABT/TARNUTZER-MÜNCH, Erbrecht, 2007, n°s65 s. ad art. 519 ZGB). L'intérêt à interjeter recours suppose que l'admission de l'action en nullité des dispositions à cause de mort soit susceptible de procurer un avantage au recourant ( ATF 81 II 33 consid. 2 p. 35 s.; FORNI/PIATTI, Basler Kommentar, 3e éd., 2007, n° 28 ad art. 519/520 ZGB). Autrement dit, l'action en nullité doit être dirigée contre les personnes qui tirent des dispositions testamentaires des avantages de nature successorale au détriment du demandeur ( ATF 96 II 79 consid. 9b p. 99 s. avec les références).</w:t>
      </w:r>
    </w:p>
    <w:p>
      <w:r>
        <w:rPr>
          <w:b/>
        </w:rPr>
        <w:t>E. 2.1.2</w:t>
      </w:r>
    </w:p>
    <w:p>
      <w:r>
        <w:t>Le prononcé de nullité du testament a pour effet de soumettre la succession au droit ab intestat ou de faire revivre des dispositions à cause de mort antérieures valables, révoquées par l'acte annulé (FORNI/PIATTI, op. cit., n° 29 ad art. 519/520 ZGB; ESCHER, Zürcher Kommentar, 3e éd., 1960, n° 6 ad art. 519 ZGB; STEINAUER, Le droit des successions, 2006, n° 776, p. 378). Selon la jurisprudence fédérale et la doctrine majoritaire, le jugement de nullité du testament n'a d'effets qu'entre les parties au procès ( ATF 136 III 123 consid. 4.4.1 p. 127 s.; 81 II 33 consid. 3 p. 36; FORNI/PIATTI, op. cit., n° 30 ad art. 519/520 ZGB; ESCHER, op. cit., n° 6 ad art. 519 ZGB TUOR, Berner Kommentar, 2e éd., 1952, n° 6b ad art. 519 ZGB; STEINAUER, op. cit., n° 776, p. 378 cf. cependant PAUL PIOTET, TDPS IV, p. 253 s.; LE MÊME, La protection du réservataire en droit successoral suisse, RDS 1972 I 25, in: Contributions choisies, 2004, p. 181 s.; DENIS PIOTET, Les inefficacités des dispositions à cause de mort en droit suisse, in: Quelques actions en annulation, 2007, n° 43 p. 70 avec les références, d'un avis plus nuancé).</w:t>
      </w:r>
    </w:p>
    <w:p>
      <w:r>
        <w:rPr>
          <w:b/>
        </w:rPr>
        <w:t>E. 2.2</w:t>
      </w:r>
    </w:p>
    <w:p>
      <w:r>
        <w:t>Dans son mémoire, le recourant ne développe pas cette question et se limite à affirmer "[qu']il est incontestable que le recourant dispose d'un intérêt digne de protection à l'annulation du jugement [...] qui confirme la position de sa partie adverse selon laquelle l'action en annulation du testament interjetée le 12 mai 2010 serait périmée". Il n'expose pas en quoi l'admission de l'action en nullité du testament authentique à l'encontre de l'intimé lui procurerait un avantage. Pour sa part, l'intimé dénie au recourant tout intérêt à recourir. Selon lui, l'annulation du testament - opposable uniquement inter partes - n'aurait aucune conséquence sur l'attribution qui lui est dévolue à cause de mort.</w:t>
      </w:r>
    </w:p>
    <w:p>
      <w:r>
        <w:rPr>
          <w:b/>
        </w:rPr>
        <w:t>E. 2.3</w:t>
      </w:r>
    </w:p>
    <w:p>
      <w:r>
        <w:t>Il ressort du jugement de l'autorité précédente que le testateur a modifié, par testament authentique du 25 juillet 2003, les attributions qu'il avait prévues dans son testament olographe du 25 avril 2002. Il ne voulait plus attribuer le restaurant Y.________ au recourant, mais à la commune de C.________, et ne plus remettre l'immeuble de D.________ à celle-ci, mais au Dr F.________ (devenu Dr B.________ suite à l'action en rectification). Par ces nouvelles dispositions à cause de mort, le testateur a écarté le recourant de sa succession, au profit de la commune de C.________. Les règles de partage prévues par le disposant sont contraignantes pour les héritiers institués (art. 608 al. 2 ab initio CC). Le recourant ne peut ainsi recouvrer sa qualité d'héritier institué du restaurant Y.________, conformément au testament olographe du 25 avril 2002, qu'à la condition que le testament authentique du 25 juillet 2003 soit annulé à l'encontre de l'héritier qui le remplace (cf. supra consid. 2.1.1). Or le testament authentique ne prévoit pas l'attribution du restaurant Y.________ à l'intimé, de sorte que l'action en nullité ne doit pas être dirigée contre celui-ci. L'attribution en faveur de l'intimé, à savoir l'immeuble de D.________, n'a quant à elle jamais été destinée au recourant. Les prétentions successorales du recourant n'étant pas en concurrence avec celles de l'intimé, l'admission de son recours et l'éventuelle annulation du testament authentique du 25 juillet 2003 à l'égard de l'intimé, ne sont pas de nature à lui procurer un avantage. En conséquence, l'intérêt du recourant à l'action en nullité du testament authentique à l'encontre de l'intimé fait défaut. Les conditions de recevabilité de l'action ne sont pas remplies ( ATF 116 II 351 consid. 3a p. 354 s.; HOHL, Procédure civile, tome I, 2001, n° 301 s. p. 75).</w:t>
      </w:r>
    </w:p>
    <w:p>
      <w:r>
        <w:rPr>
          <w:b/>
        </w:rPr>
        <w:t>E. 3</w:t>
      </w:r>
    </w:p>
    <w:p>
      <w:r>
        <w:t>Vu ce qui précède, le recours doit être rejeté, sans qu'il y ait lieu d'examiner les griefs soulevés au fond. Le recourant, qui succombe, supportera les frais judiciaires ( art. 66 al. 1 LTF ) et versera des dépens à l'intimé qui a conclu au rejet du recours dans la mesure de sa recevabilité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