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899/2023 vom 7. Dezember 2023</w:t>
      </w:r>
    </w:p>
    <w:p>
      <w:r>
        <w:t>Bundesgericht, 2023-12-07, DE</w:t>
      </w:r>
    </w:p>
    <w:p>
      <w:r>
        <w:rPr>
          <w:b/>
        </w:rPr>
        <w:t xml:space="preserve">Quelle: </w:t>
      </w:r>
      <w:r>
        <w:t>https://mcp.opencaselaw.ch/entscheid/bger_5A_899_2023</w:t>
      </w:r>
    </w:p>
    <w:p>
      <w:r>
        <w:t>FR: TF 5A 899/2023 du 7 décembre 2023</w:t>
      </w:r>
    </w:p>
    <w:p>
      <w:r>
        <w:t>IT: TF 5A 899/2023 del 7 dicembre 2023</w:t>
      </w:r>
    </w:p>
    <w:p>
      <w:pPr>
        <w:pStyle w:val="Heading2"/>
      </w:pPr>
      <w:r>
        <w:t>Regeste</w:t>
      </w:r>
    </w:p>
    <w:p>
      <w:r>
        <w:t>Rückweisungsentscheid betreffend Beistandschaft | Familienrecht</w:t>
      </w:r>
    </w:p>
    <w:p>
      <w:pPr>
        <w:pStyle w:val="Heading2"/>
      </w:pPr>
      <w:r>
        <w:t>Erwägungen</w:t>
      </w:r>
    </w:p>
    <w:p>
      <w:r>
        <w:rPr>
          <w:b/>
        </w:rPr>
        <w:t>E. 1</w:t>
      </w:r>
    </w:p>
    <w:p>
      <w:r>
        <w:t>Angefochten ist der kantonal letztinstanzliche Entscheid in einer Zivilsache (Art. 72 Abs. 1 bzw. Art. 72 Abs. 2 lit. b Ziff. 6 und Art. 75 Abs. 1 BGG ). Soweit das Obergericht die faktische Rückkehr der Tochter in den mütterlichen Haushalt zum Anlass genommen hat, der Mutter das Aufenthaltsbestimmungsrecht zurückzugeben, liegt keine Beschwer und somit keine Beschwerdelegitimation vor ( Art. 76 Abs. 1 lit. b BGG ). Für alle anderen Streitpunkte geht es um einen Rückweisungsentscheid, der einen Zwischenentscheid darstellt ( BGE 144 III 253 E. 1.3; 144 IV 321 E. 2.3) und deshalb nur unter den besonderen Voraussetzungen von Art. 93 Abs. 1 BGG mit Beschwerde beim Bundesgericht anfechtbar ist ( BGE 145 III 42 E. 2.1), wobei diese in der Beschwerde im Einzelnen darzulegen sind ( BGE 137 III 324 E. 1.1; 141 III 80 E. 1.2; 141 IV 289 E. 1.3). Es bleibt die Möglichkeit, im Anschluss an den aufgrund des Rückweisungsentscheids neu ergehenden Endentscheid an das Bundesgericht zu gelangen ( Art. 93 Abs. 3 BGG ). Grundgedanke dabei ist, dass das Bundesgericht sich nach dem Willen des Gesetzgebers soweit möglich nur einmal mit der gleichen Sache befassen soll ( BGE 141 III 80 E. 1.2; 142 III 798 E. 2.2; 143 III 290 E. 1.3; 144 III 475 E. 1.2).</w:t>
      </w:r>
    </w:p>
    <w:p>
      <w:r>
        <w:rPr>
          <w:b/>
        </w:rPr>
        <w:t>E. 2</w:t>
      </w:r>
    </w:p>
    <w:p>
      <w:r>
        <w:t>Die Beschwerdeführerinnen äussern sich nicht zur Frage, ob und inwiefern die Rückweisung zu einen nicht wieder gutzumachenden Nachteil führen könnte; der Ausnahmegrund von Art. 93 Abs. 1 lit. a BGG ist vor dem Hintergrund der Begründungspflicht (dazu E. 1) somit nicht näher zu prüfen. Vielmehr machen die Beschwerdeführerinnen geltend, die Gutheissung der Beschwerde führe sofort einen Endentscheid herbei. Art. 93 Abs. 1 lit. b BGG verlangt aber zusätzlich, dass damit ein bedeutender Aufwand an Zeit und Kosten für ein weitläufiges Beweisverfahren erspart würde. Die Beschwerdeführerinnen zitieren zwar den Wortlaut der Norm, äussern sich aber nicht näher dazu. Mithin bleibt letztlich auch die Ausnahme gemäss lit. b unbegründet. Die Eintretensfrage muss aber insofern nicht abschliessend beurteilt werden, als die Beschwerde ohnehin in der Sache abzuweisen ist (dazu E. 3).</w:t>
      </w:r>
    </w:p>
    <w:p>
      <w:r>
        <w:rPr>
          <w:b/>
        </w:rPr>
        <w:t>E. 3</w:t>
      </w:r>
    </w:p>
    <w:p>
      <w:r>
        <w:t>Aus dem angefochtenen Entscheid wird nicht nur klar, dass bei der Beschwerdeführerin 1 gewisse Defizite bestehen, dass der Leidensdruck der Beschwerdeführerin 2 gross ist, dass zwischen den beiden ein speziell gestricktes Verhältnis und im Übrigen ein erheblicher Unterstützungsbedarf besteht (im angefochtenen Entscheid ist von der Prüfung des Aufbaus eines Helfernetzes als Alternative zur Fremdplatzierung die Rede), sondern auch, dass es angesichts der seit dem ersten KESB-Entscheid stark veränderten Tatsachen näherer bzw. aktualisierter Abklärungen als Grundlage für die zukünftig zu treffenden Massnahmen und offenkundig auch einer Begleitung durch den Beistand bedarf. Mithin ist der Rückweisungsentscheid in der Sache richtig und auch erforderlich.</w:t>
      </w:r>
    </w:p>
    <w:p>
      <w:r>
        <w:rPr>
          <w:b/>
        </w:rPr>
        <w:t>E. 4</w:t>
      </w:r>
    </w:p>
    <w:p>
      <w:r>
        <w:t>Mit dem sofortigen Entscheid in der Sache wird das Gesuch um aufschiebende Wirkung gegenstandslos.</w:t>
      </w:r>
    </w:p>
    <w:p>
      <w:r>
        <w:rPr>
          <w:b/>
        </w:rPr>
        <w:t>E. 5</w:t>
      </w:r>
    </w:p>
    <w:p>
      <w:r>
        <w:t>Von einer solidarischen Haftbarkeit für die Kosten ( Art. 66 Abs. 5 BGG ) ist abzusehen und die Gerichtskosten sind der Beschwerdeführerin 1 aufzuerlegen ( Art. 66 Abs. 1 BGG ), welche materiell für die Kinderkosten aufzukommen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