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5A_899/2018 vom 5. Dezember 2018</w:t>
      </w:r>
    </w:p>
    <w:p>
      <w:r>
        <w:t>Bundesgericht, 2018-12-05, FR</w:t>
      </w:r>
    </w:p>
    <w:p>
      <w:r>
        <w:rPr>
          <w:b/>
        </w:rPr>
        <w:t xml:space="preserve">Quelle: </w:t>
      </w:r>
      <w:r>
        <w:t>https://mcp.opencaselaw.ch/entscheid/bger_5A_899_2018</w:t>
      </w:r>
    </w:p>
    <w:p>
      <w:r>
        <w:t>FR: TF 5A_899/2018 du 5 décembre 2018</w:t>
      </w:r>
    </w:p>
    <w:p>
      <w:r>
        <w:t>IT: TF 5A_899/2018 del 5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23 août 2018 sur la réquisition formée par B.________ SA, la Présidente du Tribunal d'arrondissement de Lausanne a prononcé la faillite de A.________ (</w:t>
      </w:r>
    </w:p>
    <w:p>
      <w:r>
        <w:t>débiteur ).</w:t>
      </w:r>
    </w:p>
    <w:p>
      <w:r>
        <w:t>Le débiteur ayant recouru contre ce jugement, le greffe de la Cour des poursuites et faillites du Tribunal cantonal du canton de Vaud lui a fixé le 12 septembre 2018 un délai au 27 septembre suivant pour effectuer un dépôt de 300 fr. à titre d'avance de frais. Le 2 octobre 2018, ce délai a été prolongé de cinq jours, faute de quoi le recours serait considéré comme "</w:t>
      </w:r>
    </w:p>
    <w:p>
      <w:r>
        <w:t>non avenu " ( art. 101 al. 3 CPC ).</w:t>
      </w:r>
    </w:p>
    <w:p>
      <w:r>
        <w:rPr>
          <w:b/>
        </w:rPr>
        <w:t>E. 2</w:t>
      </w:r>
    </w:p>
    <w:p>
      <w:r>
        <w:t>Par arrêt du 25 octobre 2018, la Présidente de la Cour des poursuites et faillites a déclaré le recours irrecevable, le jugement de faillite étant maintenu, avec effet au 23 août 2018 à 11 h. 35. Elle a retenu que le recourant n'a pas retiré le pli recommandé du 2 octobre 2018, lequel est dès lors censé lui être parvenu le 10 octobre 2018 ( art. 138 al. 3 let. a CPC ); il n'a pas versé l'avance de frais dans le délai imparti, ni dans le délai prolongé, arrivé à échéance le 15 octobre 2018.</w:t>
      </w:r>
    </w:p>
    <w:p>
      <w:r>
        <w:rPr>
          <w:b/>
        </w:rPr>
        <w:t>E. 3</w:t>
      </w:r>
    </w:p>
    <w:p>
      <w:r>
        <w:t>Par acte expédié le 1er décembre 2018, le débiteur exerce un recours au Tribunal fédéral contre la décision précitée. Il sollicite le bénéfice de l'assistance judiciaire ainsi que des "</w:t>
      </w:r>
    </w:p>
    <w:p>
      <w:r>
        <w:t>mesures d'instruction ".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La décision attaquée est en principe susceptible de recours en matière civile ( art. 72 al. 2 let. a LTF ). Il apparaît superflu de vérifier les autres conditions de recevabilité, le procédé étant voué à l'échec.</w:t>
      </w:r>
    </w:p>
    <w:p>
      <w:r>
        <w:rPr>
          <w:b/>
        </w:rPr>
        <w:t>E. 5</w:t>
      </w:r>
    </w:p>
    <w:p>
      <w:r>
        <w:t>En l'occurrence, le recourant explique longuement les raisons de sa déconfiture et se plaint d'un "</w:t>
      </w:r>
    </w:p>
    <w:p>
      <w:r>
        <w:t>vice de</w:t>
      </w:r>
    </w:p>
    <w:p>
      <w:r>
        <w:t>forme ", en reprenant mot à mot l'argumentation présentée en instance cantonale (</w:t>
      </w:r>
    </w:p>
    <w:p>
      <w:r>
        <w:t>cf . ATF 134 II 244 consid. 2.3). Pour le surplus, il ne réfute pas le motif d'irrecevabilité retenu par la juge précédente. Faute de répondre à l'exigence légale de motivation, le recours s'avère dès lors irrecevable ( art. 42 al. 2 LTF ; ATF 140 III 86 consid. 2 et 115 consid. 2, avec les citations).</w:t>
      </w:r>
    </w:p>
    <w:p>
      <w:r>
        <w:rPr>
          <w:b/>
        </w:rPr>
        <w:t>E. 6</w:t>
      </w:r>
    </w:p>
    <w:p>
      <w:r>
        <w:t>Vu ce qui précède, le présent recours doit être déclaré irrecevable par voie de procédure simplifiée ( art. 108 al. 1 let . aet b LTF). Comme les conclusions du recourant étaient d'emblée dépourvues de chances de succès, il y a lieu de rejeter sa requête d'assistance judiciaire ( art. 64 al. 1 LTF ) et de mettre à sa charge les frais ( art. 66 al. 1 LTF ).</w:t>
      </w:r>
    </w:p>
    <w:p>
      <w:r>
        <w:t>Le présent arrêt rend sans objet les requêtes d'effet suspensif et de "</w:t>
      </w:r>
    </w:p>
    <w:p>
      <w:r>
        <w:t>sursis concordataire " - par ailleurs nouvelle ( art. 99 al. 2 LTF ) -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