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898/2016 vom 27. Januar 2017</w:t>
      </w:r>
    </w:p>
    <w:p>
      <w:r>
        <w:t>Bundesgericht, 2017-01-27, FR</w:t>
      </w:r>
    </w:p>
    <w:p>
      <w:r>
        <w:rPr>
          <w:b/>
        </w:rPr>
        <w:t xml:space="preserve">Quelle: </w:t>
      </w:r>
      <w:r>
        <w:t>https://mcp.opencaselaw.ch/entscheid/bger_5A_898_2016</w:t>
      </w:r>
    </w:p>
    <w:p>
      <w:r>
        <w:t>FR: TF 5A 898/2016 du 27 janvier 2017</w:t>
      </w:r>
    </w:p>
    <w:p>
      <w:r>
        <w:t>IT: TF 5A 898/2016 del 27 gennaio 2017</w:t>
      </w:r>
    </w:p>
    <w:p>
      <w:pPr>
        <w:pStyle w:val="Heading2"/>
      </w:pPr>
      <w:r>
        <w:t>Regeste</w:t>
      </w:r>
    </w:p>
    <w:p>
      <w:r>
        <w:t>déni de justice (séquestre) | Droit des poursuites et faillites</w:t>
      </w:r>
    </w:p>
    <w:p>
      <w:pPr>
        <w:pStyle w:val="Heading2"/>
      </w:pPr>
      <w:r>
        <w:t>Erwägungen</w:t>
      </w:r>
    </w:p>
    <w:p>
      <w:r>
        <w:rPr>
          <w:b/>
        </w:rPr>
        <w:t>E. 1</w:t>
      </w:r>
    </w:p>
    <w:p>
      <w:r>
        <w:t>Le recours a été déposé en temps utile ( art. 100 al. 2 let. a LTF ; art. 7 RCETF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 La recourante, qui a été déboutée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 art. 42 al. 2 LTF exige que le recourant discute les motifs de la décision entreprise et indique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264 consid. 2.3; 134 IV 36 consid. 1.4.1; 133 II 249 consid. 1.2.2), doit démontrer, par une argumentation précise, en quoi consiste la violation (principe d'allégation, art. 106 al. 2 LTF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137 III 226 consid. 4.2).</w:t>
      </w:r>
    </w:p>
    <w:p>
      <w:r>
        <w:rPr>
          <w:b/>
        </w:rPr>
        <w:t>E. 3</w:t>
      </w:r>
    </w:p>
    <w:p>
      <w:r>
        <w:t>Invoquant l'arbitraire ( art. 9 Cst. ), la recourante se plaint premièrement d'un état de fait lacunaire en reprochant à la Chambre de surveillance d'avoir retenu qu'il lui appartenait d'autoriser H.________ SA à transmettre les relevés de compte à l'Office afin qu'il puisse se déterminer sur le caractère insaisissable des avoirs séquestrés. Singulièrement, elle fait grief à l'autorité cantonale d'avoir omis de constater certains faits démontrant que l'Office était en mesure d'obtenir tous les renseignements nécessaires de la part de H.________ SA. Ainsi, par lettre du 18 novembre 2014, dans le cadre de la procédure de séquestre n° ggggg, son époux, D.________, agissant sur procuration, avait autorisé H.________ SA à renseigner l'Office en tant que de besoin sur la portée du séquestre, en particulier sur les numéros des comptes concernés et les montants séquestrés sur ceux-ci. Ladite lettre avait été signée devant I.________, chargé de séquestre à l'Office, et remise à celui-ci le jour même, de sorte qu'elle se trouvait ou devait encore se trouver en possession de l'Office. Une telle critique, purement appellatoire, ne satisfait en rien aux exigences de motivation susrappelées (cf. supra consid. 2.2) et est dès lors impropre à démontrer l'arbitraire dans l'établissement des faits auquel a procédé l'autorité cantonale. L'on ne voit du reste pas - et la recourante ne l'explique aucunement - quelle serait la pertinence d'un courrier adressé à la banque dans le cadre d'une procédure de séquestre ne faisant pas l'objet de la plainte litigieuse (cf. supra let. A.a). Le moyen est partant irrecevable, étant par ailleurs relevé que la recourante n'invoque aucune violation de la maxime inquisitoire prévue par l' art. 20a al. 2 ch. 2 LP .</w:t>
      </w:r>
    </w:p>
    <w:p>
      <w:r>
        <w:rPr>
          <w:b/>
        </w:rPr>
        <w:t>E. 4</w:t>
      </w:r>
    </w:p>
    <w:p>
      <w:r>
        <w:t>La recourante se plaint également de la violation de son droit d'être entendue ( art. 29 al. 2 Cst. ). Elle reproche plus particulièrement à la Chambre de surveillance de ne pas avoir motivé sa conclusion selon laquelle les montants versés par son père sur son compte H.________ n° hhhhh (recte: ccccc) étaient saisissables. Elle n'avait notamment pas analysé la saisissabilité desdits montants au regard des extraits de compte produits, qui pourtant indiquaient, dans les informations relatives aux crédits des sommes concernées, " contribution aide paraplégie ". Cette omission avait eu pour effet de la priver de la possibilité de se déterminer en conséquence.</w:t>
      </w:r>
    </w:p>
    <w:p>
      <w:r>
        <w:rPr>
          <w:b/>
        </w:rPr>
        <w:t>E. 4.1.1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137 II 266 consid. 3.2; 136 V 351 consid. 4.2; 136 I 229 consid. 5.2; 134 I 83 consid. 4.1; 133 III 439 consid. 3.3; 130 II 530 consid. 4.3).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 ATF 141 V 557 consid. 3.2.1; arrêts 2C_931/2015 du 12 octobre 2016 consid. 2.1; 6B_1237/2014 du 24 mars 2015 consid. 3.1).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138 IV 81 consid. 2.2; 134 I 83 consid. 4.1 et les arrêts cités).</w:t>
      </w:r>
    </w:p>
    <w:p>
      <w:r>
        <w:rPr>
          <w:b/>
        </w:rPr>
        <w:t>E. 4.1.2</w:t>
      </w:r>
    </w:p>
    <w:p>
      <w:r>
        <w:t>Tel qu'il est reconnu par l' art. 29 al. 2 Cst. , le droit d'être entendu comprend également le droit pour l'intéressé de prendre connaissance du dossier et d'offrir des preuves pertinentes ( ATF 135 II 286 consid. 5.1).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arrêt 2D_54/2014 du 23 janvier 2015 consid. 5.2).</w:t>
      </w:r>
    </w:p>
    <w:p>
      <w:r>
        <w:rPr>
          <w:b/>
        </w:rPr>
        <w:t>E. 4.2</w:t>
      </w:r>
    </w:p>
    <w:p>
      <w:r>
        <w:t>Sous l'aspect du droit à une décision motivée, la critique de la recourante tombe à faux. A la lecture de la décision entreprise, force est de constater que la Chambre de surveillance a examiné le moyen de la recourante tiré de l'insaisissabilité alléguée des avoirs litigieux. En effet, après avoir exposé les principes juridiques applicables, elle a considéré que les montants versés par le père de la recourante étaient saisissables. La motivation de l'autorité cantonale apparaît ainsi suffisante et permettait manifestement à la recourante de recourir en connaissance de cause, ce qu'elle a d'ailleurs fait. La recourante confond apparemment le défaut de motivation qui relève du droit d'être entendu avec le désaccord que la motivation présentée a suscité chez elle et qui relève du fond. Pour le reste, si tant est qu'elle entende également s'en plaindre sous cet angle, on ne voit pas que la recourante ait été privée de prouver les faits qu'elle a allégué à l'appui de sa plainte. Elle a en effet expressément été invitée par la Chambre de surveillance à produire les extraits de compte pertinents. On ne voit donc pas en quoi son droit d'être entendue aurait été violé. Autre est la question de savoir si la Chambre de surveillance a correctement qualifié de saisissables les avoirs litigieux (cf. infra consid. 5). Au vu de ce qui précède, le grief de violation du droit d'être entendu doit être rejeté.</w:t>
      </w:r>
    </w:p>
    <w:p>
      <w:r>
        <w:rPr>
          <w:b/>
        </w:rPr>
        <w:t>E. 5</w:t>
      </w:r>
    </w:p>
    <w:p>
      <w:r>
        <w:t>La recourante invoque, en lien avec son compte H.________ n° hhhhh (recte: ccccc), une violation de l' art. 92 al. 1 ch. 9 LP . Vu le motif des versements opérés par son père (" contribution aide paraplégie "), il apparaissait à tout le moins vraisemblable que ces versements constituaient des " autres prestations " allouées à la victime pour lésions corporelles ou atteinte à la santé et destinées à couvrir les frais de soins ou l'acquisition de moyens auxiliaires, soit des biens insaisissables au sens de cette disposition. La Chambre de surveillance ne pouvait au demeurant retenir que le solde de son compte H.________ n° hhhhh (recte: ccccc) d'un montant de 12'326 fr. 70 constituait véritablement des économies et qu'il était saisissable. En effet, dès lors que depuis le début de l'année 2016, elle ne percevait qu'une rente AI mensuelle de 1'880 fr., ledit solde lui était indispensable pour couvrir son entretien de base et les soins dont elle a constamment besoin en raison de sa paraplégie.</w:t>
      </w:r>
    </w:p>
    <w:p>
      <w:r>
        <w:rPr>
          <w:b/>
        </w:rPr>
        <w:t>E. 5.1.1</w:t>
      </w:r>
    </w:p>
    <w:p>
      <w:r>
        <w:t>La question de la saisissabilité des biens séquestrés au regard des art. 92 ss LP (applicables par renvoi de l' art. 275 LP ) relève de la compétence des offices et des autorités de surveillance ( ATF 142 III 291 consid. 2.1; arrêts 5A_938/2015 du 10 mars 2016 consid. 4.2.1; 5A_389/2014 du 9 septembre 2014 consid. 3.2, publié in SJ 2015 I 13; MICHEL OCHSNER, in Commentaire romand, Poursuite et faillite, 2005, n° 44 ad art. 92 LP et les références).</w:t>
      </w:r>
    </w:p>
    <w:p>
      <w:r>
        <w:rPr>
          <w:b/>
        </w:rPr>
        <w:t>E. 5.1.2</w:t>
      </w:r>
    </w:p>
    <w:p>
      <w:r>
        <w:t>D'après l' art. 93 al. 1 LP , dont la note marginale est " revenus relativement saisissables ", les pensions et prestations de toutes sortes qui sont destinées à couvrir une perte de gain, en particulier les rentes et indemnités en capital qui ne sont pas insaisissables en vertu de l' art. 92 LP , peuvent notamment être saisies, déduction faite de ce que le préposé estime indispensable au débiteur et à sa famille. L' 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 ATF 134 III 182 consid. 4). En mentionnant expressément l'indemnité à titre de " réparation morale ", le législateur a codifié la jurisprudence qui visait l'indemnité pour tort moral en raison d'un préjudice à la santé, indépendamment de tout préjudice matériel ( ATF 73 III 56 p. 57; arrêt 5A_389/2014 du 9 septembre 2014 consid. 2.1, publié in SJ 2015 I 13 et in BlSchK 2015 p. 62). Les indemnités pour tort moral sont ainsi insaisissables quand elles servent à compenser une atteinte à la santé. Les indemnités pour tort moral servant à réparer un tort psychique, par exemple une atteinte à la personnalité qui n'a provoqué aucune atteinte à la santé, ne sont pas insaisissables (arrêts 5A_389/2014 précité consid. 2.2; 5A_563/2013 du 4 octobre 2013 consid. 3). S'agissant des indemnités pour frais médicaux (ou frais de guérison), en principe insaisissables, la jurisprudence admet exceptionnellement leur saisissabilité relative dans trois hypothèses: le créancier est une des personnes à qui était destinée l'indemnité (médecin, hôpital, thérapeute, pharmacien); le poursuivi lésé a déjà payé ses frais médicaux à l'aide de biens saisissables; l'indemnité en cause dépasse les frais de guérison effectifs ( ATF 85 III 23 consid. 3a; OCHSNER, op. cit., n° 154 ad art. 92 LP ; ROLAND BREHM, in Berner Kommentar, Art. 41-61 OR , 4ème éd. 2013, n° 138 ad art. 46 CO ). L'articulation des art. 92 al. 1 ch. 9 et 93 al. 1 LP repose sur la distinction entre trois types de prestations: celles destinées à couvrir une perte de revenus, celles versées dans le cadre de la guérison et celles censées offrir une réparation morale. Hormis les exceptions relevant du domaine de l'AVS, de l'AI et des allocations familiales ( art. 92 al. 1 ch. 9a LP ), toutes les prestations et indemnités destinées à couvrir un préjudice découlant d'une incapacité de travail, passagère ou définitive, totale ou partielle, sont relativement saisissables au sens de l' art. 93 LP (OCHSNER, op. cit., n° 151 s. ad art. 92 LP ; BlSchK 2011 p. 61 consid. 2a).</w:t>
      </w:r>
    </w:p>
    <w:p>
      <w:r>
        <w:rPr>
          <w:b/>
        </w:rPr>
        <w:t>E. 5.2</w:t>
      </w:r>
    </w:p>
    <w:p>
      <w:r>
        <w:t>La cour cantonale a constaté que le compte H.________ n° ccccc avait été alimenté, jusqu'au 25 septembre 2015, soit à la date du séquestre, tant par les rentes accident et d'invalidité servies à la recourante que par des montants versés par son père, ces derniers montants étant toutefois saisissables. Dès lors que le libellé des versements litigieux (" contribution aide paraplégie ") ne permettait pas, à lui seul, de considérer qu'il s'agissait de prestations versées au titre d'une réparation morale ou pour frais de guérison au sens de l' art. 92 al. 1 ch. 9 LP et non de prestations fournies à un autre titre voire à bien plaire, l'on ne saurait reprocher à l'autorité cantonale d'avoir nié leur caractère (absolument) insaisissable. Quand bien même la maxime inquisitoire prévue par l' art. 20a al. 2 ch. 2 LP s'applique à la question de la saisissabilité des biens (cf. ATF 127 III 572 consid. 3c; JOLANTA KREN KOSTKIEWICZ, in Kurzkommentar SchKG, 2ème éd. 2014, n° 11 ad art. 92 LP ),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(arrêts 5A_253/2015 du 9 juin 2015 consid. 4.1; 5A_163/2008 du 27 mai 2008 consid. 2 et les références, publié in SJ 2009 I 232). Or, alors même qu'elle était tenue de le faire en vertu de son devoir de collaboration (cf. arrêts 5A_253/2015 précité; 7B.179/2000 du 8 août 2000 consid. 1), la recourante, assistée d'un avocat, n'a pas présenté l'état de fait pertinent ni produit les moyens de preuve auxquels elle avait accès aux fins d'établir à quel titre les montants litigieux avaient été versés sur son compte H.________ n° ccccc. Faute de l'avoir fait dans sa plainte, elle aurait parfaitement été en mesure de fournir toutes explications utiles à l'appui de la transmission des relevés de compte requis par la Chambre de surveillance. N'ayant pas rapporté la preuve qui lui incombait, la recourante ne saurait se plaindre d'une mauvaise application de l' art. 92 al. 1 ch. 9 LP en tant que l'autorité cantonale n'a pas qualifié les montants litigieux d'insaisissables. Le moyen doit par conséquent être rejeté.</w:t>
      </w:r>
    </w:p>
    <w:p>
      <w:r>
        <w:rPr>
          <w:b/>
        </w:rPr>
        <w:t>E. 6</w:t>
      </w:r>
    </w:p>
    <w:p>
      <w:r>
        <w:t>La recourante soulève enfin, en lien avec les comptes H.________ nos iiiii et fffff une violation de l' art. 272 al. 1 ch. 3 LP . La Chambre de surveillance avait en effet méconnu qu'à teneur des relevés produits, le compte n° iiiii était un compte d'épargne au nom de sa fille E.________ et le compte n° fffff un compte d'épargne au nom de son fils F.________. Dès lors que ces deux comptes appartenaient à ses enfants, qui sont des personnes juridiques indépendantes d'elle, aucun séquestre fondé sur une créance envers elle ne pouvait être exécuté sur ces comptes. Ce faisant, la recourante perd de vue qu'elle a saisi l'autorité de surveillance et non le juge de l'opposition au séquestre. Les griefs concernant les conditions de fond du séquestre doivent être soulevés dans la procédure d'opposition et ceux concernant l'exécution du séquestre dans la procédure de plainte. Plus singulièrement, les compétences des offices et des autorités de poursuite portent notamment, en vertu du renvoi de l' art. 275 LP , sur les mesures proprement dites d'exécution, soit celles concernant la saisissabilité des biens ( art. 92 ss LP ), l'ordre de la saisie ( art. 95 ss LP ), la sauvegarde des biens saisis ( art. 98 ss LP ) et la procédure de revendication ( art. 106 ss LP ). Elles visent aussi le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 ATF 142 III 291 consid. 2.1 et les références). En revanche, l'office des poursuites est tenu d'obtempérer à une ordonnance de séquestre régulière en la forme et n'a pas la compétence d'en examiner le bien-fondé, notamment de vérifier les conditions justifiant l'octroi de la mesure. C'est ainsi que la question de savoir si le créancier a réussi à rendre vraisemblable que certaines valeurs appartenaient au débiteur malgré l'apparence formelle relève de la compétence du juge du séquestre, respectivement du juge de l'opposition ( ATF 130 III 579 consid. 2.2.4 et les références; arrêt 5A_730/2016 du 20 décembre 2016 consid. 3.2.1 et 3.2.2). Infondé, le moyen ne peut être que rejeté.</w:t>
      </w:r>
    </w:p>
    <w:p>
      <w:r>
        <w:rPr>
          <w:b/>
        </w:rPr>
        <w:t>E. 7</w:t>
      </w:r>
    </w:p>
    <w:p>
      <w:r>
        <w:t>En définitive, le recours doit être rejeté dans la mesure de sa recevabilité. Les conclusions de la recourante étant vouées à l'échec, sa requête d'assistance judiciaire est rejetée ( art. 64 al. 1 LTF ). Les frais judiciaires, arrêtés à 1'000 fr.,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