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5A_897/2022 vom 9. Februar 2023</w:t>
      </w:r>
    </w:p>
    <w:p>
      <w:r>
        <w:t>Bundesgericht, 2023-02-09, FR</w:t>
      </w:r>
    </w:p>
    <w:p>
      <w:r>
        <w:rPr>
          <w:b/>
        </w:rPr>
        <w:t xml:space="preserve">Quelle: </w:t>
      </w:r>
      <w:r>
        <w:t>https://mcp.opencaselaw.ch/entscheid/bger_5A_897_2022</w:t>
      </w:r>
    </w:p>
    <w:p>
      <w:r>
        <w:t>FR: TF 5A_897/2022 du 9 février 2023</w:t>
      </w:r>
    </w:p>
    <w:p>
      <w:r>
        <w:t>IT: TF 5A_897/2022 del 9 febbraio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19 novembre 2021, l'Autorité de protection de l'enfant et de l'adulte du Littoral et du Val-de-Travers (ci-après : l'APEA) a approuvé le rapport final et les comptes de curatelle présentés par Me B.________ ensuite du décès de C.A.________ et D.A.________, dont il était le curateur de représentation et de gestion.</w:t>
      </w:r>
    </w:p>
    <w:p>
      <w:r>
        <w:t>Statuant le 18 octobre 2022, la Cour des mesures de protection de l'enfant et de l'adulte du Tribunal cantonal du canton de Neuchâtel a partiellement admis le recours formé par le fils des précités, A.A.________. Elle a renvoyé le dossier à l'APEA pour nouvelle décision et laissé les frais de justice à la charge de l'Etat.</w:t>
      </w:r>
    </w:p>
    <w:p>
      <w:r>
        <w:rPr>
          <w:b/>
        </w:rPr>
        <w:t>E. 2</w:t>
      </w:r>
    </w:p>
    <w:p>
      <w:r>
        <w:t>Par acte du 21 novembre 2022, A.A.________ forme un recours en matière civile au Tribunal fédéral contre l'arrêt cantonal, concluant principalement à sa réforme en ce sens qu'une indemnité de dépens de 5'708 fr. 85 lui est allouée, subsidiairement au renvoi de la cause à l'autorité précédente pour nouvelle décision.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Le présent recours est traité en tant que recours en matière civile au sens de l' art. 72 al. 2 ch. 6 LTF . Il est superflu d'examiner les autres conditions de recevabilité, le procédé étant voué à l'échec.</w:t>
      </w:r>
    </w:p>
    <w:p>
      <w:r>
        <w:rPr>
          <w:b/>
        </w:rPr>
        <w:t>E. 4</w:t>
      </w:r>
    </w:p>
    <w:p>
      <w:r>
        <w:t>Contrairement à ce qu'affirme le recourant, une décision qui, comme en l'espèce, renvoie la cause à l'autorité de première instance pour nouvelle décision sur le fond ne constitue pas une décision finale, mais une décision incidente - qui ne porte ni sur la compétence, ni sur la récusation (cf. art. 92 et 93 al. 1 LTF ) -, ceci y compris lorsqu'elle statue définitivement sur les frais et dépens de l'incident ( ATF 142 V 551 consid. 3.2). Partant, un recours immédiat n'est recevable qu'aux conditions spécifiques prévues par l' art. 93 LTF . L'hypothèse de l' art. 93 al. 1 let. b LTF n'entre manifestement pas en considération en l'espèce et le recourant, qui a méconnu le caractère incident de la décision querellée, ne fait pas valoir, ainsi qu'il lui incombe ( ATF 142 III 798 consid. 2.2), que celle-ci est susceptible de lui causer un préjudice irréparable au sens de l' art. 93 al. 1 let. a LTF , étant relevé qu'un tel préjudice n'est pas d'emblée évident ( ATF 141 III 80 consid. 1.2; sur l'absence de préjudice irréparable du prononcé accessoire sur les frais judiciaires et dépens contenu dans une décision incidente, cf. ATF 143 III 416 consid. 1.3).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a et b LTF ). Les frais judiciaires sont mis à la charge du recourant ( art. 66 al. 1 LTF ). Il n'y a pas lieu d'allouer de dépens ( art. 68 al. 1 et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