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5A_897/2021 vom 1. Dezember 2021</w:t>
      </w:r>
    </w:p>
    <w:p>
      <w:r>
        <w:t>Bundesgericht, 2021-12-01, DE</w:t>
      </w:r>
    </w:p>
    <w:p>
      <w:r>
        <w:rPr>
          <w:b/>
        </w:rPr>
        <w:t xml:space="preserve">Quelle: </w:t>
      </w:r>
      <w:r>
        <w:t>https://mcp.opencaselaw.ch/entscheid/bger_5A_897_2021</w:t>
      </w:r>
    </w:p>
    <w:p>
      <w:r>
        <w:t>FR: TF 5A_897/2021 du 1 décembre 2021</w:t>
      </w:r>
    </w:p>
    <w:p>
      <w:r>
        <w:t>IT: TF 5A_897/2021 del 1 dicembre 2021</w:t>
      </w:r>
    </w:p>
    <w:p>
      <w:pPr>
        <w:pStyle w:val="Heading2"/>
      </w:pPr>
      <w:r>
        <w:t>Erwägungen</w:t>
      </w:r>
    </w:p>
    <w:p>
      <w:r>
        <w:rPr>
          <w:b/>
        </w:rPr>
        <w:t>E. 1</w:t>
      </w:r>
    </w:p>
    <w:p>
      <w:r>
        <w:t>Mit dem Berufungsentscheid des Kantonsgerichts Schwyz ist die in Bezug auf das Berufungsverfahren erhobene Rechtsverzögerungsbeschwerde gegenstandslos geworden und das betreffende bundesgerichtliche Verfahren durch das präsidierende Mitglied abzuschreiben ( Art. 32 Abs. 2 und Art. 71 BGG i.V.m. Art. 72 BZP ).</w:t>
      </w:r>
    </w:p>
    <w:p>
      <w:r>
        <w:rPr>
          <w:b/>
        </w:rPr>
        <w:t>E. 2</w:t>
      </w:r>
    </w:p>
    <w:p>
      <w:r>
        <w:t>Die Kosten des vorliegenden Beschwerdeverfahrens sind mit summarischer Begründung auf Grund der Sachlage vor Eintritt des Erledigungsgrundes zu verteilen ( Art. 71 BGG i.V.m. Art. 72 BZP ).</w:t>
      </w:r>
    </w:p>
    <w:p>
      <w:r>
        <w:t>Der Beschwerdeführer bezieht sich in seiner Rechtsverzögerungsbeschwerde ausschliesslich auf den Ablauf des erstinstanzlichen Verfahrens. Dieses war indes bei Einreichung der Beschwerde bereits durch Endentscheid abgeschlossen. Mithin könnte sich die Rechtsverzögerungsbeschwerde nur auf das Berufungsverfahren beziehen. Da sie aber diesbezüglich keine Begründung enthält, hätte auf sie nicht eingetreten werden können ( Art. 42 Abs. 2 BGG ).</w:t>
      </w:r>
    </w:p>
    <w:p>
      <w:r>
        <w:t>Nur der Vollständigkeit halber sei festgehalten, dass sich aus den Akten keine längeren Zeiten der Untätigkeit im Berufungsverfahren ausmachen liessen: Der Beschwerdeführer hat seine Berufung am 8. Juli 2021 eingereicht und die Gegenpartei am 21. Juli 2021 die Berufungsantwort erstattet. Verzögerungen im weiteren Verlauf haben sich einzig durch Handlungen des Beschwerdeführers ergeben, indem dieser im Rahmen des Berufungsverfahrens vorsorgliche Massnahmen (mit Superprovisorium) betreffend das Besuchsrecht verlangt und diesbezüglich weitere Eingaben gemacht hat (Gesuch vom 20. Juli 2021, Abweisung des Superprovisoriums am 23. Juli 2021, unaufgeforderte Stellungnahme des Beschwerdeführers vom 27. Juli 2021, Vernehmlassung der Gegenpartei am 12. August 2021, weitere Eingabe des Beschwerdeführers am 19. August 2021, vorsorglicher Massnahmeentscheid vom 8. November 2021; vgl. dazu im Übrigen das Urteil 5A_938/2021 vom 24. November 2021).</w:t>
      </w:r>
    </w:p>
    <w:p>
      <w:r>
        <w:rPr>
          <w:b/>
        </w:rPr>
        <w:t>E. 3</w:t>
      </w:r>
    </w:p>
    <w:p>
      <w:r>
        <w:t>Nach dem Gesagten hätte auf die Rechtsverzögerungsbeschwerde nicht eingetreten werden können. Deshalb hat der Beschwerdeführer auch im Fall der Gegenstandslosigkeit die Gegenseite für ihren Aufwand zu entschädigen ( Art. 68 Abs. 2 BGG ). Angesichts der konkreten Umstände wird jedoch auf die Erhebung von Gerichtskosten verzichtet ( Art. 66 Abs. 1 BGG ), welche ausgangsgemäss auch der Beschwerdeführer zu tragen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