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5A_896/2023 vom 30. November 2023</w:t>
      </w:r>
    </w:p>
    <w:p>
      <w:r>
        <w:t>Bundesgericht, 2023-11-30, DE</w:t>
      </w:r>
    </w:p>
    <w:p>
      <w:r>
        <w:rPr>
          <w:b/>
        </w:rPr>
        <w:t xml:space="preserve">Quelle: </w:t>
      </w:r>
      <w:r>
        <w:t>https://mcp.opencaselaw.ch/entscheid/bger_5A_896_2023</w:t>
      </w:r>
    </w:p>
    <w:p>
      <w:r>
        <w:t>FR: TF 5A_896/2023 du 30 novembre 2023</w:t>
      </w:r>
    </w:p>
    <w:p>
      <w:r>
        <w:t>IT: TF 5A_896/2023 del 30 novembre 2023</w:t>
      </w:r>
    </w:p>
    <w:p>
      <w:pPr>
        <w:pStyle w:val="Heading2"/>
      </w:pPr>
      <w:r>
        <w:t>Erwägungen</w:t>
      </w:r>
    </w:p>
    <w:p>
      <w:r>
        <w:rPr>
          <w:b/>
        </w:rPr>
        <w:t>E. 1</w:t>
      </w:r>
    </w:p>
    <w:p>
      <w:r>
        <w:t>Die Beschwerde hat nach Art. 42 Abs. 1 BGG einen sachgerichteten Antrag zu enthalten. Der gestellte Antrag geht einzig auf Gewährung der unentgeltlichen Rechtspflege. Der dieses Gesuch abweisende Entscheid bildete jedoch Gegenstand eines anderen Verfahrens und der Beschwerdeführer gelangte dagegen erfolglos bis vor Bundesgericht (vgl. Urteil 5A_748/2023 vom 5. Oktober 2023). Vorliegend geht es um etwas anderes, nämlich um die Nachfristansetzung für den Kostenvorschuss; diesbezüglich enthält die Beschwerde kein Begehren.</w:t>
      </w:r>
    </w:p>
    <w:p>
      <w:r>
        <w:rPr>
          <w:b/>
        </w:rPr>
        <w:t>E. 2</w:t>
      </w:r>
    </w:p>
    <w:p>
      <w:r>
        <w:t>Ohnehin scheitert die Beschwerde auch an einer hinreichenden Begründung: Der Beschwerdeführer hält die Nachfrist von 10 Tagen für zu kurz, um den Vorschuss aufzutreiben, obwohl er seit Monaten um die Vorschusspflicht weiss. Die übrigen Ausführungen beziehen sich auf das gegen ihn eingeleitete Strafverfahren vor der Staatsanwaltschaft und stehen in keinem Zusammenhang mit der Nachfristansetzung für den Kostenvorschuss im Unterhaltsverfahren; ein solcher lässt sich auch nicht durch die Behauptung herstellen, das Obergericht stehe unter Zeitdruck, weil der Amtsmissbrauch der Stadtpolizei Zürich ein Verleumdungsverfahren zur Folge habe.</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