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895/2017 vom 13. November 2017</w:t>
      </w:r>
    </w:p>
    <w:p>
      <w:r>
        <w:t>Bundesgericht, 2017-11-13, FR</w:t>
      </w:r>
    </w:p>
    <w:p>
      <w:r>
        <w:rPr>
          <w:b/>
        </w:rPr>
        <w:t xml:space="preserve">Quelle: </w:t>
      </w:r>
      <w:r>
        <w:t>https://mcp.opencaselaw.ch/entscheid/bger_5A_895_2017</w:t>
      </w:r>
    </w:p>
    <w:p>
      <w:r>
        <w:t>FR: TF 5A 895/2017 du 13 novembre 2017</w:t>
      </w:r>
    </w:p>
    <w:p>
      <w:r>
        <w:t>IT: TF 5A 895/2017 del 13 novembre 2017</w:t>
      </w:r>
    </w:p>
    <w:p>
      <w:pPr>
        <w:pStyle w:val="Heading2"/>
      </w:pPr>
      <w:r>
        <w:t>Regeste</w:t>
      </w:r>
    </w:p>
    <w:p>
      <w:r>
        <w:t>curatelle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25 juillet 2017, la Justice de paix du district de la Riviera-Pays-d'Enhaut a ouvert une enquête en institution d'une curatelle et en placement à des fins d'assistance, subsidiairement en institution de mesures ambulatoires, à l'égard de A._______, née le 25 octobre 1944 (I); mandaté un expert (II); institué une curatelle provisoire de représentation, avec limitation de l'exercice des droits civils, et de gestion selon les art. 394 al. 2, 395 al. 1 et 445 al. 1 CC en faveur de l'intéressée (III); retiré provisoirement à celle-ci ses droits civils pour les actes dans divers domaines (IV); nommé une curatrice provisoire (V); défini les tâches de celle-ci (VI-VIII); dit que les frais de la procédure provisionnelle suivent le sort de la cause (IX); déclaré sa décision immédiatement exécutoire, nonobstant recours (X). Statuant le 6 septembre 2017, la Chambre des curatelles du Tribunal cantonal du canton de Vaud a confirmé cette ordonnance.</w:t>
      </w:r>
    </w:p>
    <w:p>
      <w:r>
        <w:rPr>
          <w:b/>
        </w:rPr>
        <w:t>E. 2</w:t>
      </w:r>
    </w:p>
    <w:p>
      <w:r>
        <w:t>Par écriture mise à la poste le 31 octobre 2017, A.________ déclare interjeter " appel " de l'arrêt cantonal. Des déterminations n'ont pas été requises.</w:t>
      </w:r>
    </w:p>
    <w:p>
      <w:r>
        <w:rPr>
          <w:b/>
        </w:rPr>
        <w:t>E. 3</w:t>
      </w:r>
    </w:p>
    <w:p>
      <w:r>
        <w:t>Le présent recours doit être traité en tant que recours en matière civile au sens des art. 72 ss LTF (art. 72 al. 2 let. b ch. 6 LTF).</w:t>
      </w:r>
    </w:p>
    <w:p>
      <w:r>
        <w:rPr>
          <w:b/>
        </w:rPr>
        <w:t>E. 4</w:t>
      </w:r>
    </w:p>
    <w:p>
      <w:r>
        <w:t>La décision entreprise porte sur des mesures provisionnelles au sens de l' art. 98 LTF , de sorte que la recourante ne peut dénoncer qu'une violation de ses droits constitutionnels (arrêt 5A_320/2015 du 27 avril 2015 consid. 3), grief qu'elle est tenue de motiver conformément aux exigences posées à l' art. 106 al. 2 LTF (parmi d'autres: ATF 134 II 349 consid. 3 et les arrêts cités). Or, en l'espèce, le mémoire de recours est dépourvu de toute critique intelligible - de surcroît d'ordre constitutionnel - de l'arrêt déféré, ainsi que de conclusions ( art. 42 al. 1 LTF 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aet b LTF). Il se justifie de statuer sans frais (art. 66 al. 1 in fine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