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894/2014 vom 12. Februar 2015</w:t>
      </w:r>
    </w:p>
    <w:p>
      <w:r>
        <w:t>Bundesgericht, 2015-02-12, FR</w:t>
      </w:r>
    </w:p>
    <w:p>
      <w:r>
        <w:rPr>
          <w:b/>
        </w:rPr>
        <w:t xml:space="preserve">Quelle: </w:t>
      </w:r>
      <w:r>
        <w:t>https://mcp.opencaselaw.ch/entscheid/bger_5A_894_2014</w:t>
      </w:r>
    </w:p>
    <w:p>
      <w:r>
        <w:t>FR: TF 5A 894/2014 du 12 février 2015</w:t>
      </w:r>
    </w:p>
    <w:p>
      <w:r>
        <w:t>IT: TF 5A 894/2014 del 12 febbraio 2015</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prononçant la mainlevée définitive de l'opposition, à savoir une décision finale ( art. 90 LTF ; ATF 134 III 115 consid. 1.1 p. 117; arrêt 5A_10/2014 du 22 août 2014 consid. 1 non publié in ATF 140 III 456 ) rendue en matière de poursuite pour dettes ( art. 72 al. 2 let. a LTF , en relation avec les art. 80 et 81 LP ) par le tribunal supérieur d'un canton ayant statué sur recours ( art. 75 al. 1 et 2 LTF ); la valeur litigieuse est atteinte ( art. 74 al. 1 let. b LTF ); la poursuivie, qui a succombé devant la juridiction précédente, a qualité pour recourir ( art. 76 al. 1 LTF ).</w:t>
      </w:r>
    </w:p>
    <w:p>
      <w:r>
        <w:rPr>
          <w:b/>
        </w:rPr>
        <w:t>E. 1.2</w:t>
      </w:r>
    </w:p>
    <w:p>
      <w:r>
        <w:t>Le recours en matière civile peut être formé pour violation du droit fédéral, y compris les droits constitutionnels ( art. 95 let. a LTF ; ATF 133 III 399 consid. 1.5 p. 400; arrêt 5A_144/2014 du 23 juin 2014 consid. 1 non publié in ATF 140 III 372 ).</w:t>
      </w:r>
    </w:p>
    <w:p>
      <w:r>
        <w:rPr>
          <w:b/>
        </w:rPr>
        <w:t>E. 2</w:t>
      </w:r>
    </w:p>
    <w:p>
      <w:r>
        <w:t>La procédure de mainlevée est une pure procédure d'exécution forcée (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 ATF 139 III 444 consid. 4.1.1 p. 447 ss). Il n'a ni à revoir ni à interpréter le titre qui lui est soumis ( ATF 140 III 180 consid. 5.2.1 p. 190; 124 III 501 consid. 3a p. 503).</w:t>
      </w:r>
    </w:p>
    <w:p>
      <w:r>
        <w:rPr>
          <w:b/>
        </w:rPr>
        <w:t>E. 3</w:t>
      </w:r>
    </w:p>
    <w:p>
      <w:r>
        <w:t>La juridiction précédente a retenu que les décisions de taxation relatives aux ICC 2003 à 2005 des époux B.________ ainsi que les décisions de scission du 8 juillet 2010 et les sommations du 3 mai 2011 constituent des " titres de créance ". Les décisions de taxation précitées, notifiées à la poursuivie et munies du tampon attestant de leur caractère exécutoire, représentaient des titres à la mainlevée définitive. Selon la Cour de justice, dès lors qu'elles ne fixent que le montant global correspondant aux impôts du couple, seules les décisions de scission permettent de déterminer les parts d'impôts de chaque époux. Or, les décisions de scission du 8 juillet 2010 n'ont pas été produites par l'Etat de Genève en première instance, mais seulement dans le cadre de sa réponse au recours; le poursuivant a cependant produit en première instance des décisions de scission datées du 16 avril 2010, valablement notifiées à la poursuivie et munies du tampon attestant de leur caractère exécutoire, qui établissent avec exactitude la quotité des impôts restants dus par elle pour les années fiscales 2003 à 2005. Comme la poursuivie ne soutient pas que les montants fixés dans les décisions de scission du 16 avril 2010 auraient été modifiés par celles du 8 juillet 2010, la production de celles-ci n'était pas nécessaire. Par ailleurs, la Chambre administrative de la Cour de justice a considéré que c'était à bon droit que l'AFC avait crédité les sommes versées par la poursuivie en 2007 sur les comptes communs ICC 2002 et IFD 2006 des époux. Le moyen libératoire invoqué était ainsi mal fondé. Deux des trois jugements de première instance comportaient toutefois des erreurs arithmétiques que la Cour de justice a corrigées au moment de prononcer la mainlevée des oppositions.</w:t>
      </w:r>
    </w:p>
    <w:p>
      <w:r>
        <w:rPr>
          <w:b/>
        </w:rPr>
        <w:t>E. 4</w:t>
      </w:r>
    </w:p>
    <w:p>
      <w:r>
        <w:t>La recourante fait valoir une violation des art. 80 et 84 LP , pour le motif que les trois décisions de scission du 8 juillet 2010 qui ont été invoquées par l'intimé n'ont pas été produites; seules trois décisions du 16 avril 2010 figurent au dossier, celles-ci étant par ailleurs caduques, puisqu'elles auraient été remplacées par les décisions du 8 juillet 2010. Faute d'identité entre le titre et la prétention - et vu la caducité des titres produits - la mainlevée définitive n'aurait pas dû être prononcée.</w:t>
      </w:r>
    </w:p>
    <w:p>
      <w:r>
        <w:rPr>
          <w:b/>
        </w:rPr>
        <w:t>E. 5</w:t>
      </w:r>
    </w:p>
    <w:p>
      <w:r>
        <w:t>En l'occurrence, il ressort du dossier que des décisions ont été rendues pour déterminer le montant dû par l'épouse et celui dû par l'époux au titre de l'ICC 2003 à 2005. Par conséquent, les décisions de taxation notifiées entre 2005 et 2007 aux époux B.________, qui fixent le montant global de l'impôt pour les périodes fiscales 2003 à 2005, ne sont pas suffisantes pour prononcer la mainlevée définitive des oppositions formées par A.A.________. Seules les décisions de scission rendues par la suite constituent des titres de mainlevée définitive en ce qui concerne la poursuivie pour les montants dus au titre de l'ICC 2003 à 2005. Les décisions de scission sur lesquelles se fonde expressément l'Etat de Genève pour requérir la mainlevée, auxquelles il renvoie d'ailleurs clairement dans les commandements de payer adressés à la poursuivie, datent du 8 juillet 2010. Or, la cour cantonale a constaté qu'elles n'ont pas été produites en première instance; elles étaient par ailleurs irrecevables en procédure de recours, car leur production était tardive. Dès lors que les titres invoqués par le poursuivant pour documenter le montant de ses créances envers la poursuivie n'ont pas été produits en temps utile, les requêtes de mainlevée définitives doivent être rejetées (cf. dans ce sens arrêt 5D_91/2012 du 15 novembre 2012 consid. 4.3). L'argument de la juridiction précédente, selon lequel la poursuivie n'a pas prétendu que le contenu des décisions précitées différerait de celles qui ont été produites est contraire au droit fédéral; il appartient au poursuivant de prouver l'existence du titre de mainlevée ( art. 8 CC ), et de produire ce titre en temps utile (cf. sur cette notion arrêt 5A_241/2009 du 24 septembre 2009 rendu sous l'empire de la procédure cantonale tessinoise, et la note de François Bohnet y relative, in RSPC 2010 p. 190, s'agissant du CPC). Ces considérations scellent le sort du recours, de sorte qu'il n'y a pas lieu d'examiner les griefs de la recourante relatifs à la prétendue extinction de la créance.</w:t>
      </w:r>
    </w:p>
    <w:p>
      <w:r>
        <w:rPr>
          <w:b/>
        </w:rPr>
        <w:t>E. 6</w:t>
      </w:r>
    </w:p>
    <w:p>
      <w:r>
        <w:t>De jurisprudence constante, le prononcé qui rejette une requête de mainlevée n'a pas l'autorité de la chose jugée quant à l'existence de la prétention litigieuse et, partant, n'empêche pas le poursuivant de requérir derechef la mainlevée, y compris dans la même poursuite, en produisant les documents idoines ( ATF 140 III 456 consid. 2.5 p. 461 et les références).</w:t>
      </w:r>
    </w:p>
    <w:p>
      <w:r>
        <w:rPr>
          <w:b/>
        </w:rPr>
        <w:t>E. 7</w:t>
      </w:r>
    </w:p>
    <w:p>
      <w:r>
        <w:t>En conclusion, le recours est admis et l'arrêt attaqué réformé en ce sens que les requêtes de mainlevée sont rejetées. Dès lors qu'il succombe, l'intimé, dont l'intérêt patrimonial est en jeu, supportera les frais judiciaires (cf. art. 66 al. 4 LTF ) et versera des dépens à la recourante qui a agi avec le concours d'un avocat ( art. 68 al. 1 et 2 LTF ). La demande d'assistance judiciaire de la recourante est ainsi sans objet. La cause est renvoyée à la cour cantonale pour qu'elle statue sur les frais et dépens des instances cantonales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