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5A_893/2019 vom 8. November 2019</w:t>
      </w:r>
    </w:p>
    <w:p>
      <w:r>
        <w:t>Bundesgericht, 2019-11-08, DE</w:t>
      </w:r>
    </w:p>
    <w:p>
      <w:r>
        <w:rPr>
          <w:b/>
        </w:rPr>
        <w:t xml:space="preserve">Quelle: </w:t>
      </w:r>
      <w:r>
        <w:t>https://mcp.opencaselaw.ch/entscheid/bger_5A_893_2019</w:t>
      </w:r>
    </w:p>
    <w:p>
      <w:r>
        <w:t>FR: TF 5A_893/2019 du 8 novembre 2019</w:t>
      </w:r>
    </w:p>
    <w:p>
      <w:r>
        <w:t>IT: TF 5A_893/2019 del 8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Soweit der Beschwerdeführer ausserhalb des Verfahrensgegenstandes liegende Begehren stellt, ist auf die Beschwerde von vornherein nicht einzutreten. Gleiches gilt für seine Ausführungen zu Nationalität und Arbeitslosigkeit.</w:t>
      </w:r>
    </w:p>
    <w:p>
      <w:r>
        <w:t>Im Übrigen müsste die Beschwerde eine Begründung enthalten, in welcher in gedrängter Form dargelegt wird, inwiefern der angefochtene Entscheid Recht verletzt ( Art. 42 Abs. 2 BGG ), was eine Auseinandersetzung mit dessen Begründung erfordert ( BGE 140 III 115 E. 2 S. 116). Eine solche Auseinandersetzung erfolgt indes nicht. Der Beschwerdeführer beschränkt sich auf pauschale Vorwürfe, wonach das Bezirksgericht lüge und das Betreibungsamt ihm Geld wegnehme.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dem Beschwerdeführer, dem Betreibungsamt Zürich 3 und dem Obergericht des Kantons Zürich, II. Zivilkammer, als obere kantonale Aufsichtsbehörde über Schuldbetreibung und Konkurs schriftlich mitgeteilt.</w:t>
      </w:r>
    </w:p>
    <w:p>
      <w:r>
        <w:t>Lausanne, 8. November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