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5A_892/2020 vom 21. Dezember 2020</w:t>
      </w:r>
    </w:p>
    <w:p>
      <w:r>
        <w:t>Bundesgericht, 2020-12-21, FR</w:t>
      </w:r>
    </w:p>
    <w:p>
      <w:r>
        <w:rPr>
          <w:b/>
        </w:rPr>
        <w:t xml:space="preserve">Quelle: </w:t>
      </w:r>
      <w:r>
        <w:t>https://mcp.opencaselaw.ch/entscheid/bger_5A_892_2020</w:t>
      </w:r>
    </w:p>
    <w:p>
      <w:r>
        <w:t>FR: TF 5A_892/2020 du 21 décembre 2020</w:t>
      </w:r>
    </w:p>
    <w:p>
      <w:r>
        <w:t>IT: TF 5A_892/2020 del 21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5A_892/2020</w:t>
      </w:r>
    </w:p>
    <w:p>
      <w:r>
        <w:t>Ordonnance du 21 décembre 2020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 Sàrl,</w:t>
      </w:r>
    </w:p>
    <w:p>
      <w:r>
        <w:t>représentée par Me Pascal Dévaud, avocat,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mainlevée provisoire de l'opposition,</w:t>
      </w:r>
    </w:p>
    <w:p>
      <w:r>
        <w:t>recours contre l'arrêt de la Chambre civile de la Cour</w:t>
      </w:r>
    </w:p>
    <w:p>
      <w:r>
        <w:t>de justice du canton de Genève du 18 septembre 2020 (C/28166/2019, ACJC/1321/2020).</w:t>
      </w:r>
    </w:p>
    <w:p>
      <w:r>
        <w:t>Vu :</w:t>
      </w:r>
    </w:p>
    <w:p>
      <w:r>
        <w:t>le recours en matière civile et le recours constitutionnel subsidiaire interjetés le 24 octobre 2020 par A.________ Sàrl contre l'arrêt rendu le 18 septembre 2020 par la Chambre civile de la Cour de justice du canton de Genève dans la cause qui oppose la recourante à B.________ SA;</w:t>
      </w:r>
    </w:p>
    <w:p>
      <w:r>
        <w:t>la déclaration de retrait du recours du 10 décembre 2020;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);</w:t>
      </w:r>
    </w:p>
    <w:p>
      <w:r>
        <w:t>qu'il n'y a pas lieu d'allouer de dépens à l'intimée pour ses observations sur la requête d'effet suspensif ( art. 68 al. 1 LTF ), dès lors qu'elle a procédé sans le concours d'un avocat ( ATF 135 III 127 consid. 4).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21 décembre 2020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