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5A_892/2014 vom 18. Mai 2015</w:t>
      </w:r>
    </w:p>
    <w:p>
      <w:r>
        <w:t>Bundesgericht, 2015-05-18, FR</w:t>
      </w:r>
    </w:p>
    <w:p>
      <w:r>
        <w:rPr>
          <w:b/>
        </w:rPr>
        <w:t xml:space="preserve">Quelle: </w:t>
      </w:r>
      <w:r>
        <w:t>https://mcp.opencaselaw.ch/entscheid/bger_5A_892_2014</w:t>
      </w:r>
    </w:p>
    <w:p>
      <w:r>
        <w:t>FR: TF 5A_892/2014 du 18 mai 2015</w:t>
      </w:r>
    </w:p>
    <w:p>
      <w:r>
        <w:t>IT: TF 5A_892/2014 del 18 maggio 2015</w:t>
      </w:r>
    </w:p>
    <w:p>
      <w:pPr>
        <w:pStyle w:val="Heading2"/>
      </w:pPr>
      <w:r>
        <w:t>Erwägungen</w:t>
      </w:r>
    </w:p>
    <w:p>
      <w:r>
        <w:rPr>
          <w:b/>
        </w:rPr>
        <w:t>E. 1.1</w:t>
      </w:r>
    </w:p>
    <w:p>
      <w:r>
        <w:t>Le recours est dirigé contre une décision finale ( art. 90 LTF ) rendue en matière civile ( art. 72 al. 1 LTF ) par une autorité cantonale de dernière instance statuant sur recours ( art. 75 LTF ), dans une cause de nature pécuniaire dont la valeur litigieuse requise est atteinte (art. 51 al. 1 let. a, 74 al. 1 let. b LTF). Il a en outre été interjeté en temps utile ( art. 100 al. 1 LTF ) et en la forme prévue par la loi ( art. 42 LTF ), par une partie qui a succombé dans ses conclusions prises devant l'autorité précédente ( art. 76 al. 1 LTF ), de sorte qu'il est en principe recevable.</w:t>
      </w:r>
    </w:p>
    <w:p>
      <w:r>
        <w:rPr>
          <w:b/>
        </w:rPr>
        <w:t>E. 1.2</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 ATF 138 II 331 consid. 1.3) et apprécie librement la portée juridique des faits. Cependant, vu l'exigence de motivation contenue à l' art. 42 al. 1 et 2 LTF , il n'examine en principe que les griefs invoqués; il n'est pas tenu de traiter, comme le ferait une autorité de première instance, toutes les questions juridiques qui se posent, lorsqu'elles ne sont plus discutées devant lui ( ATF 140 III 86 consid. 2; 137 III 580 consid. 1.3; 135 III 397 consid. 1.4). Le Tribunal fédéral ne connaît en outre de la violation des droits fondamentaux que si ce grief a été invoqué et dûment motivé par le recourant ("principe d'allégation", art. 106 al. 2 LTF ; ATF 137 II 305 consid. 3.3), c'est-à-dire expressément soulevé et exposé de façon claire et détaillée ( ATF 139 I 229 consid. 2.2). Les critiques de nature appellatoire sont irrecevables ( ATF 139 II 404 consid. 10.1 et les arrêts cités).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(art. 97 al. 1</w:t>
      </w:r>
    </w:p>
    <w:p>
      <w:r>
        <w:t>in fine LTF). Le recourant qui soutient que les faits ont été établis de manière manifestement inexacte ( art. 97 al. 1 LTF ), à savoir arbitraire au sens de l' art. 9 Cst. ( ATF 136 II 447 consid. 2.1; 134 IV 36 consid. 1.4), doit démontrer, par une argumentation précise, en quoi consiste la violation, conformément au principe d'allégation susmentionné. L'appréciation des preuves est arbitraire lorsque l'autorité ne prend pas en compte, sans raison sérieuse, un élément de preuve propre à modifier la décision, lorsqu'elle se trompe manifestement sur son sens et sa portée ou encore lorsque, en se fondant sur les éléments de preuves recueillis, elle en tire des déductions insoutenables, ce qu'il appartient au recourant de démontrer ( ATF 137 I 58 consid. 4.1.2; 137 III 226 consid. 4.2).</w:t>
      </w:r>
    </w:p>
    <w:p>
      <w:r>
        <w:rPr>
          <w:b/>
        </w:rPr>
        <w:t>E. 2</w:t>
      </w:r>
    </w:p>
    <w:p>
      <w:r>
        <w:t>Le recourant reproche à la cour cantonale d'avoir violé les art. 8 CC et 150 al. 1 CPC en considérant qu'il n'avait pas prouvé l'existence de ses biens propres; subsidiairement, il se plaint sur ce point d'arbitraire dans l'appréciation des preuves.</w:t>
      </w:r>
    </w:p>
    <w:p>
      <w:r>
        <w:rPr>
          <w:b/>
        </w:rPr>
        <w:t>E. 2.1</w:t>
      </w:r>
    </w:p>
    <w:p>
      <w:r>
        <w:t>L' art. 8 CC règle la répartition du fardeau de la preuve et, partant, les conséquences de l'absence de preuve;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 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 art. 9 Cst. est alors seul en cause ( ATF 138 III 374 consid. 4.3.1; 130 III 591 consid. 5.4; 128 III 22 consid. 2d et les arrêts cités).</w:t>
      </w:r>
    </w:p>
    <w:p>
      <w:r>
        <w:t>Il en va de même de l' art. 200 al. 3 CC , selon lequel tout bien d'un époux est présumé acquêt, sauf preuve du contraire. En vertu de cette disposition - qui modifie le fardeau de la preuve découlant de la règle générale de l' art. 8 CC , lequel n'est dès lors pas applicable à cet égard (notamment: arrêts 5C.118/2004 du 3 août 2004 consid. 3.1;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 art. 200 al. 3 CC s'il applique correctement cette règle en se fondant sur un tel constat (arrêts 5C.118/2004 du 3 août 2004 consid. 3.1; 5C.229/2002 du 7 février 2003 consid. 2.1).</w:t>
      </w:r>
    </w:p>
    <w:p>
      <w:r>
        <w:t>L ' art. 200 CC ne traite pas du point de savoir à qui incombe le fardeau de la preuve lorsque le litige porte sur l'existence ou non d'un bien au moment de la dissolution du régime; dans ce cas, c'est donc l' art. 8 CC qui s'applique ( ATF 125 III 1 consid. 3; 118 II 27 consid. 2; arrêts 5A_111/2007 du 8 janvier 2008 consid. 3.2; 5C.90/2004 du 15 juillet 2004 consid. 2.1). De même, la présomption de l' art. 200 al. 3 CC , qui ne concerne que l'affectation d'un bien à une masse, ne dit rien quant à la partie qui supporte le fardeau de la preuve qu'une masse a contribué à un bien de l'autre masse, en sorte que l'existence des conditions effectives d'une récompense, au sens de l' art. 209 al. 1 ou al. 3 CC , doit être établie conformément à l' art. 8 CC ( ATF 131 III 559 consid. 4.3 et les références; arrêts 5A_61/2013 du 4 juillet 2013 consid. 3.3; 5A_37/2011 du 1er septembre 2011 consid. 3.2.1). A cet égard, il convient de relever qu'il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(cf. concernant l'union des biens: ATF 107 II 306 consid. 4 et 5; Deschenaux/Steinauer/Baddeley, Les effets du mariage, 2e éd. 2009, p. 570 et la note infrapaginale n° 2, avec l'auteur cité).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 5A_37/2011 du 1er septembre 2011 consid. 3.2.1 précité). Cette présomption de fait (ou naturelle) sert à faciliter la preuve, mais n'aboutit nullement à un renversement du fardeau de celle-ci ( ATF 120 II 248 consid. 2c; 117 II 256 consid. 2b). Elle est réfragable en ce sens que la partie adverse peut apporter la contre-preuve du fait présumé; la contre-preuve n'a pas à convaincre le juge, mais doit affaiblir la preuve principale en semant le doute dans l'esprit de celui-ci ( ATF 133 III 81 consid. 4.2.2; 130 III 321 consid. 3.4).</w:t>
      </w:r>
    </w:p>
    <w:p>
      <w:r>
        <w:rPr>
          <w:b/>
        </w:rPr>
        <w:t>E. 2.2</w:t>
      </w:r>
    </w:p>
    <w:p>
      <w:r>
        <w:t>Selon l' art. 150 al. 1 CPC , la preuve a pour objet les faits pertinents et contestés. Cette norme ne concerne pas le fardeau de la preuve, qui relève du droit matériel. Elle a pour vocation de régir le droit à la preuve ainsi que les conditions et les modalités de l'administration de celle-ci (arrêt 4A_502/2012 du 22 janvier 2013 consid. 3.1). Est pertinent un fait de nature à influencer la solution juridique du litige (arrêt 4A_229/2012 du 19 juillet 2012 consid. 4). Quant à savoir si et dans quelle mesure un fait est contesté, il s'agit d'une question qui relève de la constatation des faits, respectivement de l'appréciation des preuves (arrêt 5A_91/2014 du 29 avril 2014 consid. 3.2). Les faits allégués peuvent être reconnus expressément ou tacitement (Hans Schmid, in Kurzkommentar ZPO, 2e éd. 2014, n° 4 ad art. 150 CPC et les auteurs cités; Gasser/Rickli, Schweizerische Zivilprozessordnung [ZPO], Kurzkommentar, 2e éd. 2014, n° 2 ad art. 150 CPC ).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(Denis Tappy, Code de procédure civile commenté, 2011, n° s 19 et 20 ad art. 222 CPC ; cf. sur ce devoir en général: ATF 115 II 1 consid. 4; Fabienne Hohl, Procédure civile, tome I, n° 802 p. 155/156; arrêt 5A_710/2009 du 22 février 2010 consid. 2.3.1 et les références). Admettre que les faits sont prouvés (car non contestés par la partie adverse) ne signifie pas encore admettre la demande: l'admission d'une prétention suppose que soient réalisées les conditions de fait établies par la norme sur laquelle elle est fondée (arrêt 5A_420/2011 du 23 mars 2012 consid. 3.5.2 et les références).</w:t>
      </w:r>
    </w:p>
    <w:p>
      <w:r>
        <w:rPr>
          <w:b/>
        </w:rPr>
        <w:t>E. 2.3</w:t>
      </w:r>
    </w:p>
    <w:p>
      <w:r>
        <w:t>En l'espèce, l'autorité cantonale a admis, contrairement au juge de première instance, que les avoirs bancaires du mari s'élevaient à 75'152 fr. 90 à la date du mariage, sous la forme de 40 fr. 40 en liquidités et de 75'112 fr. 50 en obligations. Celui-ci avait en outre démontré qu'il avait par la suite détenu des avoirs sur plusieurs comptes dans différents établissements bancaires et que, durant une certaine période, il avait remis la somme de 120'000 fr. à sa soeur, qui la lui avait ensuite restituée. Ses avoirs bancaires s'étaient ainsi élevés à 114'856 fr. 76 en liquidités au 31 décembre 1997, à 130'922 fr. 40 en liquidités et en obligations au 31 décembre 2006 et à 112'490 fr. 52 en liquidités et en obligations au 9 août 2012.</w:t>
      </w:r>
    </w:p>
    <w:p>
      <w:r>
        <w:t>En revanche, il n'avait pas prouvé que, parmi les avoirs bancaires qu'il détenait au jour du dépôt de la demande en divorce, soit 112'490 fr. 52, figurait encore en tout ou en partie le produit du remboursement des obligations qu'il avait acquises avant le mariage, ou son éventuel remploi. En effet, il n'avait pas produit de pièces suffisamment probantes permettant de documenter les mouvements de ses avoirs bancaires et de retracer ce qu'il était advenu desdites obligations entre le 3 septembre 1992, jour du mariage, et le 9 août 2012, date du dépôt de la demande en divorce. Il n'avait de plus fourni aucune information précise sur ses revenus et ses charges ni de justificatifs permettant de retenir qu'il aurait, durant les vingt ans qu'avait duré l'union conjugale, bénéficié de revenus suffisants pour lui éviter d'avoir à puiser dans ses économies. Il n'était pas non plus décisif que l'intimée ait signé, peu après la séparation des époux, un document dans lequel elle reconnaissait que le régime matrimonial était liquidé, ses explications selon lesquelles elle ne connaissait pas l'étendue des avoirs bancaires du mari - notamment parce que les relevés relatifs à certains comptes étaient adressés chez le père de celui-ci - paraissant plausibles. Selon les juges précédents, la présomption de l' art. 200 al. 3 CC n'avait ainsi pas été renversée et l'ensemble des avoirs bancaires du mari au 9 août 2012 devaient dès lors être qualifiés d'acquêts.</w:t>
      </w:r>
    </w:p>
    <w:p>
      <w:r>
        <w:rPr>
          <w:b/>
        </w:rPr>
        <w:t>E. 2.4</w:t>
      </w:r>
    </w:p>
    <w:p>
      <w:r>
        <w:t>Le recourant soutient que l'intimée n'a pas allégué de faits permettant de penser que ses biens propres auraient été réduits ou anéantis durant le mariage, et qu'elle n'a pas non plus réfuté le "cheminement" de ceux-ci sur ses différents comptes bancaires, lequel a conduit à leur augmentation. L'épouse n'aurait ainsi pas contesté qu'au 31 décembre 2007, ses avoirs s'élevaient à 114'856 fr. 76, ni qu'il avait ensuite confié temporairement 120'000 fr. - dont 75'152 fr. 90 de biens propres - à sa soeur, et que le solde de ses comptes bancaires était de 112'490 fr. 52 en liquidités et obligations le 9 août 2012: ces faits ont cependant été admis par l'autorité cantonale, en sorte que la critique tombe à faux. Quant au grief selon lequel ses avoirs ont régulièrement augmenté pendant l'union conjugale, si bien qu'en l'absence de contestations précises de l'intimée, il n'a pas fourni d'autres offres de preuves au sujet de ses biens propres existants avant le mariage, il n'apparaît pas décisif. Dès le début de la procédure, l'épouse a en effet contesté l'existence même de biens propres du mari au moment du mariage, sous réserve d'un montant de 40 fr. 40. Partant, il convient d'admettre qu'elle n'a pas non plus reconnu que ces prétendus biens propres aient été encore représentés lors du dépôt de la demande en divorce. L' art. 150 al. 1 CPC n'apparaît donc pas violé.</w:t>
      </w:r>
    </w:p>
    <w:p>
      <w:r>
        <w:t>Contrairement à ce que prétend le recourant, on ne discerne par ailleurs aucune violation de l' art. 8 CC dans le raisonnement de l'autorité cantonale. Celle-ci a en effet retenu que les avoirs en question constituaient des acquêts sur la base d'une appréciation des preuves qui lui étaient soumises, appréciation qui l'a conduite à retenir que la présomption de l' art. 200 al. 3 CC n'était pas renversée. Dès lors que la cour cantonale est parvenue à une conviction sur ce point, il n'y a pas de place pour la violation de l' art. 8 CC invoquée par le recourant. Quant à l'appréciation des preuves à laquelle s'est livrée la Cour de justice, le recourant ne démontre pas qu'elle serait insoutenable ( art. 9 Cst. ). Il se borne à prétendre que l'autorité cantonale a versé dans l'arbitraire en estimant qu'il n'avait pas rapporté la preuve de l'existence de ses biens propres, alors même que l'intimée n'avait pas allégué de faits permettant de penser que ceux-ci auraient été réduits ou anéantis durant le mariage: de nature essentiellement appellatoire ( art. 106 al. 2 LTF ), ces critiques constituent en réalité une reprise des griefs soulevés par le recourant du chef de la prétendue violation des art. 8 CC et 150 al. 1 CPC, en sorte que, supposées suffisamment motivées, elles ne peuvent qu'être rejetées.</w:t>
      </w:r>
    </w:p>
    <w:p>
      <w:r>
        <w:t>Tout au plus pourrait-on se demander si l'autorité cantonale devait interpeller les parties sur le point de savoir si les biens propres du mari étaient encore représentés au moment de la dissolution du régime matrimonial et pouvaient donner lieu à récompense conformément à l' art. 209 CC , seule la question de l'existence de ces biens à la date du mariage ayant été envisagée jusqu'à ce stade de la procédure. En vertu de la règle "</w:t>
      </w:r>
    </w:p>
    <w:p>
      <w:r>
        <w:t>jura novit curia ", le juge n'est toutefois généralement pas lié par les moyens de droit des parties, la jurisprudence n'aménageant une exception à ce principe que lorsque le juge s'apprête à fonder sa décision sur une norme ou un principe juridique non évoqué dans la procédure antérieure et dont aucune des parties en présence ne s'est prévalue et ne pouvait supputer la pertinence</w:t>
      </w:r>
    </w:p>
    <w:p>
      <w:r>
        <w:t>in casu ( ATF 130 III 35 consid. 5; cf. aussi arrêts 4A_623/2014 du 30 avril 2015 consid. 3.1; 2C_793/2014 du 24 avril 2015 consid. 3.1; 4A_554/2014 du 15 avril 2015 consid. 2.1). Comme le recourant ne se plaint pas de la violation de son droit d'être entendu en procédure contradictoire, il n'y a pas lieu de se déterminer à ce sujet ( art. 106 al. 2 LTF ).</w:t>
      </w:r>
    </w:p>
    <w:p>
      <w:r>
        <w:rPr>
          <w:b/>
        </w:rPr>
        <w:t>E. 3</w:t>
      </w:r>
    </w:p>
    <w:p>
      <w:r>
        <w:t>En conclusion, le recours se révèle infondé et doit par conséquent être rejeté, dans la mesure de sa recevabilité. Les frais judiciaires seront dès lors mis à la charge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