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5A_890/2021 vom 26. April 2022</w:t>
      </w:r>
    </w:p>
    <w:p>
      <w:r>
        <w:t>Bundesgericht, 2022-04-26, DE</w:t>
      </w:r>
    </w:p>
    <w:p>
      <w:r>
        <w:rPr>
          <w:b/>
        </w:rPr>
        <w:t xml:space="preserve">Quelle: </w:t>
      </w:r>
      <w:r>
        <w:t>https://mcp.opencaselaw.ch/entscheid/bger_5A_890_2021</w:t>
      </w:r>
    </w:p>
    <w:p>
      <w:r>
        <w:t>FR: TF 5A_890/2021 du 26 avril 2022</w:t>
      </w:r>
    </w:p>
    <w:p>
      <w:r>
        <w:t>IT: TF 5A_890/2021 del 26 aprile 2022</w:t>
      </w:r>
    </w:p>
    <w:p>
      <w:pPr>
        <w:pStyle w:val="Heading2"/>
      </w:pPr>
      <w:r>
        <w:t>Erwägungen</w:t>
      </w:r>
    </w:p>
    <w:p>
      <w:r>
        <w:rPr>
          <w:b/>
        </w:rPr>
        <w:t>E. 1.1</w:t>
      </w:r>
    </w:p>
    <w:p>
      <w:r>
        <w:t>Angefochten ist ein von einer letzten kantonalen Instanz auf Rechtsmittel hin ergangener Endentscheid über eine Zivilsache ( Art. 72, Art. 75 und Art. 90 BGG ).</w:t>
      </w:r>
    </w:p>
    <w:p>
      <w:r>
        <w:rPr>
          <w:b/>
        </w:rPr>
        <w:t>E. 1.2</w:t>
      </w:r>
    </w:p>
    <w:p>
      <w:r>
        <w:t>Die Höhe des Streitwerts ist umstritten. Das Obergericht beziffert diesen mit Fr. 29'000.-- und der Beschwerdeführer behauptet einen solchen von Fr. 89'000.--. Bei Beschwerden gegen Endentscheide bestimmt sich der Streitwert "nach den Begehren, die vor der Vorinstanz streitig geblieben waren" (Art. 51 Abs. 1 Bst. a BGG). Vor Obergericht war nur noch der Forderungsbetrag von Fr. 29'000.-- streitig. Das Auskunftsbegehren war, nachdem der Beschwerdeführer auf diesbezügliche Einwendungen verzichtet hatte, bereits vor Bezirksgericht nicht mehr streitig, so dass der darauf entfallende Streitwert im vorliegenden Verfahren unberücksichtigt bleibt. Ebenso wenig kann der Beschwerdeführer aus dem Umstand, dass es letztlich um insgesamt 96 monatliche Teilzahlungen zu Fr. 1'000.-- gehen könnte, etwas für sich ableiten; eingeklagt waren und blieben 29 Teilzahlungen zu Fr. 1'000.--. Damit erreicht der für die Beschwerde in Zivilsachen erforderliche Streitwert den gesetzlichen Mindestbetrag von Fr. 30'000.-- (Art. 74 Abs. 1 Bst. b BGG) nicht. Die Beschwerde in Zivilsachen ist daher nur zulässig, wenn sich eine Rechtsfrage von grundsätzlicher Bedeutung stellt (Art. 74 Abs. 2 Bst. a BGG), was der Beschwerdeführer aber nicht behauptet. Auf die Beschwerde in Zivilsachen ist daher nicht einzutreten.</w:t>
      </w:r>
    </w:p>
    <w:p>
      <w:r>
        <w:rPr>
          <w:b/>
        </w:rPr>
        <w:t>E. 1.3</w:t>
      </w:r>
    </w:p>
    <w:p>
      <w:r>
        <w:t>Folglich ist die Eingabe als subsidiäre Verfassungsbeschwerde ( Art. 113 ff. BGG ) entgegenzunehmen. Der angefochtene Entscheid betrifft den Beschwerdeführer in seinen rechtlich geschützten Interessen ( Art. 115 BGG ) und dieser hat die Beschwerde rechtzeitig erhoben (Art. 117 i.V.m. Art. 100 Abs. 1 BGG ).</w:t>
      </w:r>
    </w:p>
    <w:p>
      <w:r>
        <w:rPr>
          <w:b/>
        </w:rPr>
        <w:t>E. 2</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133 II 396 E. 3.2; Urteile 5D_91/2020 vom 7. September 2020 E. 2; 5D_163/2019 vom 24. Februar 2020 E. 2; je mit Hinweisen).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je mit Hinweis). Willkür liegt zudem nur vor, wenn nicht bloss die Begründung eines Entscheids, sondern auch das Ergebnis unhaltbar ist ( BGE 143 I 321 E. 6.1 ; 141 I 49 E. 3.4 ; 134 I 140 E. 5.4; je mit Hinweisen). Dass eine andere Lösung ebenfalls als vertretbar oder gar zutreffender erscheint, begründet keine Willkür ( BGE 145 II 32 E. 5.1 ; 137 I 1 E. 2.4; je mit Hinweisen).</w:t>
      </w:r>
    </w:p>
    <w:p>
      <w:r>
        <w:rPr>
          <w:b/>
        </w:rPr>
        <w:t>E. 3</w:t>
      </w:r>
    </w:p>
    <w:p>
      <w:r>
        <w:t>Anlass zur Beschwerde gibt die vorfrageweise Feststellung, dass mit dem Schreiben vom 30. Oktober 2008 ein formgültiges Rechtsgeschäft unter Lebenden vorliegt.</w:t>
      </w:r>
    </w:p>
    <w:p>
      <w:r>
        <w:rPr>
          <w:b/>
        </w:rPr>
        <w:t>E. 3.1</w:t>
      </w:r>
    </w:p>
    <w:p>
      <w:r>
        <w:t>Das Kriterium für die Unterscheidung zwischen einer Verfügung von Todes wegen und einem Rechtsgeschäft unter Lebenden ist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 des Erblassers entstehen (zum Ganzen: BGE 144 III 81 E. 3.1 mit Hinweis). Es geht letztlich darum zu beurteilen, ob das Geschäft das Vermögen des Verpflichteten (zu dessen Lebzeiten) oder erst den Nachlass belastet (Urteil 4A_575/2009 vom 11. Februar 2010 E. 2.2). Schliesslich ist nach dem Grundsatz des</w:t>
      </w:r>
    </w:p>
    <w:p>
      <w:r>
        <w:t>favor negotii eher ein gültiges Rechtsgeschäft unter Lebenden als ein ungültiges Rechtsgeschäft von Todes wegen anzunehmen, wenn die Parteien die Formvorschriften nicht beachten und beide Arten von Rechtsgeschäften möglich sind ( BGE 99 II 268 E. 3f</w:t>
      </w:r>
    </w:p>
    <w:p>
      <w:r>
        <w:t>in fine mit Hinweis).</w:t>
      </w:r>
    </w:p>
    <w:p>
      <w:r>
        <w:rPr>
          <w:b/>
        </w:rPr>
        <w:t>E. 3.2</w:t>
      </w:r>
    </w:p>
    <w:p>
      <w:r>
        <w:t>Das Obergericht ist von der hiervor zusammengefassten Rechtsprechung ausgegangen und stellte fest, C.________ sel. habe dem Beschwerdeführer Ende des Jahres 2006 Fr. 2'216'000.-- als Schenkung sowie zum Rentenkauf übertragen. Es handle sich um eine lebzeitig vollzogene Vermögensübertragung des späteren Erblassers auf seinen präsumptiven gesetzlichen Erben. Durch die Übertragung des Vermögens an den Beschwerdeführer habe C.________ sel. seine Verfügungsmacht darüber vollumfänglich aufgegeben und der Beschwerdeführer sei aufgrund der dadurch erworbenen Eigentümerstellung befugt gewesen, über die übertragenen Vermögenswerte in den Schranken der Rechtsordnung nach Belieben zu verfügen. Dieser Vorgang stelle eine gewöhnliche Zuwendung unter Lebenden dar. Von der Verfügungsmacht erfasst sei selbstredend auch die Eingehung einer Zahlungsverpflichtung zugunsten einer beliebigen Person, wie sie vorliegend durch Unterzeichnung des Schreibens vom 30. Oktober 2008 erfolgt sei. Die fragliche Zahlungsverpflichtung habe das Vermögen des Beschwerdeführers und nicht den Nachlass dessen verstorbenen Vaters belastet. Sodann habe sich der Beschwerdeführer seinem Vater gegenüber bereits zu dessen Lebzeiten zur Vornahme der Zahlungen bindend verpflichtet. Lediglich der Fälligkeitstermin sei auf den Todeszeitpunkt des Vaters gestellt worden. Aus diesen Umständen folge, dass nach dem Willen des Verstorbenen die Wirkungen des fraglichen Rechtsgeschäfts bereits zu Lebzeiten des Verstorbenen und nicht erst nach dessen Ableben eintreten sollten. Schliesslich könne die Begünstigung der Klägerin durch die Zahlungen des Beschwerdeführers nicht als Schenkung auf den Todesfall qualifiziert werden, weil der Verstorbene im Zeitpunkt seines Todes kein Verfügungsrecht mehr über das fragliche Vermögen gehabt habe.</w:t>
      </w:r>
    </w:p>
    <w:p>
      <w:r>
        <w:rPr>
          <w:b/>
        </w:rPr>
        <w:t>E. 3.3.1</w:t>
      </w:r>
    </w:p>
    <w:p>
      <w:r>
        <w:t>Der Beschwerdeführer wendet ein, bei den streitgegenständlichen Vorgängen handle es sich um eine Schenkung, deren Vollziehbarkeit auf den Tod des Schenkers gestellt sei und daher zwingend unter den Vorschriften über die Verfügung von Todes wegen stehe. C.________ sel. habe ihn, den Beschwerdeführer, verpflichtet, nach dessen Tod bestimmte Vermögensverfügungen vorzunehmen. Ausserdem sollte das Konto "B.________" im Maximalbetrag von Fr. 220'000.-- erst nach dem Tod von C.________ sel. errichtet werden. Ferner sollten die Auszahlungen erst nach dem Tod von C.________ sel. erfolgen. Schliesslich sollte das Schreiben vom 30. Oktober 2008 B.________ erst nach dem Tod von C.________ sel. übergeben werden. Diese Ausführungen sind indes nur dann relevant, wenn sich die Auffassung des Obergerichts, wonach sich der Beschwerdeführer seinem Vater gegenüber bereits zu dessen Lebzeiten zur Vornahme der Zahlungen bindend verpflichtet hat, als willkürlich herausstellen sollte, was sogleich zu prüfen ist.</w:t>
      </w:r>
    </w:p>
    <w:p>
      <w:r>
        <w:rPr>
          <w:b/>
        </w:rPr>
        <w:t>E. 3.3.2</w:t>
      </w:r>
    </w:p>
    <w:p>
      <w:r>
        <w:t>Der Beschwerdeführer beanstandet denn auch die Annahme des Obergerichts, er sei eine eigene Zahlungsverpflichtung eingegangen, die er formfrei habe eingehen können. Dies erachtet er als "falsche Rechtsauffassung". Wie ausgeführt, genügt es im Rahmen der subsidiären Verfassungsbeschwerde nicht, zu behaupten, eine Rechtsauffassung sei falsch bzw. bundesrechtswidrig; vielmehr wäre eine Verfassungswidrigkeit darzutun (E. 2). Derartiges macht der Beschwerdeführer indes nicht geltend. Soweit er in der Feststellung des Obergerichts, wonach die fragliche Zahlungsverpflichtung sein Vermögen und nicht den Nachlass des verstorbenen Vaters belaste und lediglich der Fälligkeitstermin der Zahlungsverpflichtung auf den Todeszeitpunkt des Vaters gestellt sei, willkürliche Beweiswürdigung erblickt, belässt er es bei der blossen Behauptung von Willkür, ohne seine Rüge zu substanziieren, was ebenfalls nicht ausreicht (E. 2). Sodann erhebt der Beschwerdeführer keine eigentliche Rüge der Willkür in der Rechtsanwendung, sodass er gegen die vom Obergericht auf der Basis des willkürfrei festgestellten Sachverhalts gezogenen rechtlichen Schlüsse nichts auszurichten vermag. Der Einwand, die Erwägungen des Obergerichts, mit welchen es eine rechtsmissbräuchliche Umgehung der erbrechtlichen Formvorschriften verneint, seien "bundesrechtswidrig", ist so formuliert von vornherein unzulässig (E. 2), so dass darauf nicht einzutreten ist.</w:t>
      </w:r>
    </w:p>
    <w:p>
      <w:r>
        <w:rPr>
          <w:b/>
        </w:rPr>
        <w:t>E. 4</w:t>
      </w:r>
    </w:p>
    <w:p>
      <w:r>
        <w:t>Aus den dargelegten Gründen erweist sich die Beschwerde als unbegründet, soweit darauf einzutreten ist. Bei diesem Verfahrensausgang wird der Beschwerdeführer kostenpflichtig ( Art. 66 Abs. 1 BGG ). Eine Parteientschädigung ist nicht geschuldet, zumal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