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5A_889/2024 vom 23. Dezember 2024</w:t>
      </w:r>
    </w:p>
    <w:p>
      <w:r>
        <w:t>Bundesgericht, 2024-12-23, DE</w:t>
      </w:r>
    </w:p>
    <w:p>
      <w:r>
        <w:rPr>
          <w:b/>
        </w:rPr>
        <w:t xml:space="preserve">Quelle: </w:t>
      </w:r>
      <w:r>
        <w:t>https://mcp.opencaselaw.ch/entscheid/bger_5A_889_2024</w:t>
      </w:r>
    </w:p>
    <w:p>
      <w:r>
        <w:t>FR: TF 5A_889/2024 du 23 décembre 2024</w:t>
      </w:r>
    </w:p>
    <w:p>
      <w:r>
        <w:t>IT: TF 5A_889/2024 del 23 dicembre 2024</w:t>
      </w:r>
    </w:p>
    <w:p>
      <w:pPr>
        <w:pStyle w:val="Heading2"/>
      </w:pPr>
      <w:r>
        <w:t>Erwägungen</w:t>
      </w:r>
    </w:p>
    <w:p>
      <w:r>
        <w:rPr>
          <w:b/>
        </w:rPr>
        <w:t>E. 1</w:t>
      </w:r>
    </w:p>
    <w:p>
      <w:r>
        <w:t>Mit Urteil vom 12. September 2024 eröffnete das Bezirksgericht Affoltern den Konkurs über die Beschwerdeführerin. Dagegen erhob die Beschwerdeführerin am 20. September 2024 (Poststempel) Beschwerde. Mit Urteil vom 20. November 2024 wies das Obergericht des Kantons Zürich die Beschwerde ab. Dagegen hat die Beschwerdeführerin am 19. Dezember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erwogen, die Beschwerdeführerin habe nicht nachweisen können, dass die Konkursforderung samt Zinsen und Kosten beglichen sei. Zudem habe sie ihre Zahlungsfähigkeit nicht glaubhaft dargetan.</w:t>
      </w:r>
    </w:p>
    <w:p>
      <w:r>
        <w:rPr>
          <w:b/>
        </w:rPr>
        <w:t>E. 4</w:t>
      </w:r>
    </w:p>
    <w:p>
      <w:r>
        <w:t>Die Beschwerdeführerin erläutert, wie es zur aktuellen Situation gekommen ist. Die Firma solle nun wieder aufgebaut werden und sie sei zukunftsfähig. Sie sei bereit, die offenen Rechnungen zu begleichen und die rechtlichen und finanziellen Verpflichtungen zu klären. Diese Aspekte sollen bei der weiteren Prüfung berücksichtigt werden. Sie stehe für Rückfragen und weitere Gespräche zur Verfügung. Bei alldem legt die Beschwerdeführerin nicht dar, inwiefern das Obergericht Recht verletzt oder den Sachverhalt offensichtlich unrichtig festgestellt haben soll. Die Behauptung, die Forderungen begleichen zu wollen, bleibt allgemein und ist im Hinblick auf die Konkursforderung verspätet (vgl. Art. 99 Abs. 1 BGG ), da diesbezüglich bereits vor Obergericht einer der Konkursaufhebungsgründe von Art. 174 Abs. 2 Ziff. 1 bis 3 SchKG (Tilgung, Hinterlegung, Verzicht der Gläubigerin) hätte verwirklicht sein müssen.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