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5A_889/2015 vom 22. Dezember 2015</w:t>
      </w:r>
    </w:p>
    <w:p>
      <w:r>
        <w:t>Bundesgericht, 2015-12-22, DE</w:t>
      </w:r>
    </w:p>
    <w:p>
      <w:r>
        <w:rPr>
          <w:b/>
        </w:rPr>
        <w:t xml:space="preserve">Quelle: </w:t>
      </w:r>
      <w:r>
        <w:t>https://mcp.opencaselaw.ch/entscheid/bger_5A_889_2015</w:t>
      </w:r>
    </w:p>
    <w:p>
      <w:r>
        <w:t>FR: TF 5A_889/2015 du 22 décembre 2015</w:t>
      </w:r>
    </w:p>
    <w:p>
      <w:r>
        <w:t>IT: TF 5A_889/2015 del 22 dicembre 2015</w:t>
      </w:r>
    </w:p>
    <w:p>
      <w:pPr>
        <w:pStyle w:val="Heading2"/>
      </w:pPr>
      <w:r>
        <w:t>Erwägungen</w:t>
      </w:r>
    </w:p>
    <w:p>
      <w:r>
        <w:rPr>
          <w:b/>
        </w:rPr>
        <w:t>E. 1</w:t>
      </w:r>
    </w:p>
    <w:p>
      <w:r>
        <w:t>Angefochten ist ein im Zusammenhang mit einer Verfahrenssistierung ergangener Entscheid einer letzten kantonalen Instanz. Dabei handelt es sich - wie auch aus der Rechtsmittelbelehrung hervorgeht - nicht um einen Endentscheid, sondern um einen Zwischenentscheid im Sinn von Art. 93 BGG . Dieser kann vor Bundesgericht einzig dann angefochten werden, wenn er einen nicht wieder gutzumachenden Nachteil bewirkt, was im Einzelnen zu begründen ist ( Art. 93 Abs. 1 lit. a BGG ; BGE 138 III 190 E. 6 S. 191 f.; Urteil 8C_581/2014 vom 16. März 2015 E. 5). Mangels Begründung eines solchen Nachteils kann auf die Beschwerde nicht eingetreten werden.</w:t>
      </w:r>
    </w:p>
    <w:p>
      <w:r>
        <w:t>Überdies ist - wie die Beschwerdeführerin selbst festhält - das Schlichtungsverfahren inzwischen nicht mehr sistiert. Das Beschwerderecht ist indes daran geknüpft, dass ein schutzwürdiges Interesse an der Aufhebung oder Änderung des Entscheides besteht ( Art. 76 Abs. 1 lit. b BGG ). Ein solches ist grundsätzlich nur dann gegeben, wenn im Zeitpunkt des bundesgerichtlichen Entscheides nach wie vor ein aktuelles und praktisches Interesse an der Gutheissung der Beschwerde besteht ( BGE 139 I 206 E. 1.1 S. 208; 140 III 92 E. 1.1 S. 93 f.). Vorliegend wird dieses Interesse in der Beschwerde nicht dargetan.</w:t>
      </w:r>
    </w:p>
    <w:p>
      <w:r>
        <w:rPr>
          <w:b/>
        </w:rPr>
        <w:t>E. 2</w:t>
      </w:r>
    </w:p>
    <w:p>
      <w:r>
        <w:t>Nach dem Gesagten ist auf die Beschwerde nicht einzutreten. Es sei jedoch kurz festgehalten, dass das Obergericht zufolge abgelaufener Beschwerdefrist zu Recht einen Nichteintretensentscheid gefällt hat. Es hat festgehalten, dass der an die Schlichtungsbehörde gerichteten Eingabe vom 3. August 2015 nicht zu entnehmen gewesen wäre, dass es sich in Wahrheit um eine (an das Obergericht weiterzuleitende) Beschwerde gehandelt hätte, habe doch die Beschwerdeführerin um Mitteilung gebeten, wie sich der weitere Verlauf der Schlichtungsbegehren gestalte, und angefragt, ob es in der Befugnis des Friedensrichters stehe, die Handlungsfähigkeit der Beklagten abzuklären, und habe sie ferner um Unterstützung zur Bezifferung der Klage ersucht. Das Obergericht hat daraus zutreffend abgeleitet, dass die Behauptung der Beschwerdeführerin, sie habe in Wahrheit eine Beschwerde erheben wollen und diese versehentlich an die Schlichtungsbehörde gesandt, unzutreffend sei. Mithin steht fest, dass sich die Eingabe vom 3. August 2015 nicht als Beschwerde uminterpretieren liess und sich folglich die Frage der Weiterleitung der Eingabe an das Obergericht nicht stellte. Die Beschwerdeführerin hat sodann nie in Abrede gestellt, dass ihre schliesslich am 15. September 2015 erhobene Beschwerde verspätet war.</w:t>
      </w:r>
    </w:p>
    <w:p>
      <w:r>
        <w:t>Mangels einer Disziplinarhoheit des Bundesgerichtes über den Friedensrichter als kantonale Behörde wäre im vorliegenden Verfahren auch das Vorbringen unzulässig, wonach dieser seine Amtsstellung missbraucht habe (er sei unfair, ändere den Verfahrensablauf, führe die Akten schlecht, bevorzuge die andere Partei und spreche sich mit dieser ab).</w:t>
      </w:r>
    </w:p>
    <w:p>
      <w:r>
        <w:rPr>
          <w:b/>
        </w:rPr>
        <w:t>E. 3</w:t>
      </w:r>
    </w:p>
    <w:p>
      <w:r>
        <w:t>Zusammenfassend ergibt sich, dass auf die Beschwerde nicht einzutreten ist. Die Gerichtskosten sind somit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