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5A_886/2023 vom 10. Juli 2024</w:t>
      </w:r>
    </w:p>
    <w:p>
      <w:r>
        <w:t>Bundesgericht, 2024-07-10, DE</w:t>
      </w:r>
    </w:p>
    <w:p>
      <w:r>
        <w:rPr>
          <w:b/>
        </w:rPr>
        <w:t xml:space="preserve">Quelle: </w:t>
      </w:r>
      <w:r>
        <w:t>https://mcp.opencaselaw.ch/entscheid/bger_5A_886_2023</w:t>
      </w:r>
    </w:p>
    <w:p>
      <w:r>
        <w:t>FR: TF 5A_886/2023 du 10 juillet 2024</w:t>
      </w:r>
    </w:p>
    <w:p>
      <w:r>
        <w:t>IT: TF 5A_886/2023 del 10 luglio 2024</w:t>
      </w:r>
    </w:p>
    <w:p>
      <w:pPr>
        <w:pStyle w:val="Heading2"/>
      </w:pPr>
      <w:r>
        <w:t>Erwägungen</w:t>
      </w:r>
    </w:p>
    <w:p>
      <w:r>
        <w:rPr>
          <w:b/>
        </w:rPr>
        <w:t>E. 1</w:t>
      </w:r>
    </w:p>
    <w:p>
      <w:r>
        <w:t>Innert Frist ( Art. 100 Abs. 1 BGG ) angefochten ist der Endentscheid ( Art. 90 BGG ) einer auf Rechtsmittel hin urteilenden oberen kantonalen Instanz ( Art. 75 BGG ) betreffend eine Herabsetzungsklage und damit eine vermögensrechtliche Zivilsache ( Art. 72 Abs. 1 BGG ). Die Streitwertgrenze ( Art. 74 Abs. 1 lit. b BGG ) ist überschritten und die Beschwerdeführer sind zur Beschwerdeführung berechtigt ( Art. 76 BGG ). Die Beschwerde in Zivilsachen ist das zutreffende Rechtsmittel.</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2.2.1</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2.2.2</w:t>
      </w:r>
    </w:p>
    <w:p>
      <w:r>
        <w:t>Die Beschwerdeführer widmen der Darstellung des aus ihrer Sicht relevanten Sachverhalts ein eigenes Kapitel, ohne jedoch zulässige Rügen in Bezug auf die Sachverhaltsermittlung der Vorinstanz zu erheben. Soweit ihre Darstellungen von den vorinstanzlichen Feststellungen abweichen, sind sie für das Bundesgericht daher unbeachtlich.</w:t>
      </w:r>
    </w:p>
    <w:p>
      <w:r>
        <w:rPr>
          <w:b/>
        </w:rPr>
        <w:t>E. 3.1</w:t>
      </w:r>
    </w:p>
    <w:p>
      <w:r>
        <w:t>Die Erben, die dem Werte nach weniger als ihren Pflichtteil erhalten, können die Herabsetzung unter anderem von Zuwendungen unter Lebenden verlangen ( Art. 522 Abs. 1 Ziff. 3 ZGB ). Zur Erhebung einer Herabsetzungsklage ist aktivlegitimiert, wer dem Werte nach weniger als seinen Pflichtteil erhalten hat (vgl. Urteil 5A_610/2013 vom 1. November 2013 E. 2.2.2).</w:t>
      </w:r>
    </w:p>
    <w:p>
      <w:r>
        <w:rPr>
          <w:b/>
        </w:rPr>
        <w:t>E. 3.2</w:t>
      </w:r>
    </w:p>
    <w:p>
      <w:r>
        <w:t>Die Vorinstanz verneinte eine Verletzung der Beschwerdeführer in ihren Pflichtteilen. Sie erwog im Wesentlichen, zur Pflichtteilsberechnungsmasse gehörten zusätzlich zum reinen Nachlass von Fr. 82'043.45 und den lebzeitigen Zuwendungen (die Vorinstanz spricht von "Erbabfindung") an die Beschwerdegegnerin die vom Erblasser dem Beschwerdeführer 1 und der Mutter der Beschwerdeführer 2 bis 5 ausgerichteten lebzeitigen und ausgleichungspflichtigen Zuwendungen. Die bereits zu Lebzeiten von den beiden Kindern des Erblassers erhaltenen und der Ausgleichung unterliegenden Vermögenswerte (in Höhe von Fr. 13'819'000.-- oder eventuell Fr. 10'989'531.--) überstiegen den anhand der Pflichtteilsberechnungsmasse ermittelten Pflichtteil, weswegen ihre Herabsetzungsklage abzuweisen sei.</w:t>
      </w:r>
    </w:p>
    <w:p>
      <w:r>
        <w:rPr>
          <w:b/>
        </w:rPr>
        <w:t>E. 3.3</w:t>
      </w:r>
    </w:p>
    <w:p>
      <w:r>
        <w:t>Die Beschwerdeführer bestreiten die lebzeitig erhaltenen Zuwendungen weder im Bestand noch in der Höhe. Sie vertreten aber die Auffassung, diese dürften weder der Pflichtteilsberechnungsmasse hinzu- noch auf ihren Pflichtteil angerechnet werden, weil die Regeln der Ausgleichung vorliegend gar keine Anwendung fänden. Die Vorinstanz habe dies fälschlicherweise für irrelevant erachtet bzw. sich zu Unrecht nicht mit den diesbezüglichen Argumenten der Beschwerdeführer befasst und damit das rechtliche Gehör und Art. 626 ZGB verletzt. Richtigerweise fänden die Regeln zur Ausgleichung keine Anwendung, da der Erblasser zum einen anderweitig letztwillig verfügt habe und der Beschwerdegegnerin zum anderen gar keine Gläubigerstellung zukomme, da sie nicht Erbin sei.</w:t>
      </w:r>
    </w:p>
    <w:p>
      <w:r>
        <w:t>Die Beschwerdeführer führen weiter aus, der Herabsetzungstatbestand an sich sei unstrittig: Die Vorinstanz habe den Pflichtteil der Nachkommen von 3/8 (altes Recht) mit Fr. 6'404'293.10 beziffert. Nach Anrechnung des vorgefundenen Nachlasses von Fr. 82'043.-- stünden den Beschwerdeführern aus Herabsetzung also Fr. 6'322'250.-- zu. Strittig sei einzig, ob die Beschwerdegegnerin aus Ausgleichung einen Anspruch habe, den sie den Beschwerdeführern verrechnungsweise entgegenhalten könne.</w:t>
      </w:r>
    </w:p>
    <w:p>
      <w:r>
        <w:rPr>
          <w:b/>
        </w:rPr>
        <w:t>E. 3.4</w:t>
      </w:r>
    </w:p>
    <w:p>
      <w:r>
        <w:t>Die Ausführungen der Beschwerdeführer treffen nicht zu.</w:t>
      </w:r>
    </w:p>
    <w:p>
      <w:r>
        <w:rPr>
          <w:b/>
        </w:rPr>
        <w:t>E. 3.4.1</w:t>
      </w:r>
    </w:p>
    <w:p>
      <w:r>
        <w:t>Zunächst verkennen sie offensichtlich die Anforderungen, die der Anspruch auf Begründung den Gerichten auferlegt. Die Vorinstanz verwarf ausdrücklich die (auch vor Bundesgericht wiederholte) Argumentation der Beschwerdeführer. Sie führte aus, es sei nicht relevant, ob die Beschwerdegegnerin zur Erhebung einer Ausgleichungsklage aktivlegitimiert wäre, denn vorliegend gehe es nicht um eine Ausgleichungsklage, sondern um die Bestimmung der Pflichtteilsberechnungsmasse. Vor diesem Hintergrund gehe die Argumentation zur Anwendbarkeit von Art. 626 Abs. 2 ZGB ins Leere. Damit setzte sich die Vorinstanz offensichtlich mit der Argumentation der Beschwerdeführer auseinander und begründete das Ergebnis ihres Entscheids ( BGE 146 II 335 E. 5.1; 145 III 324 E. 6.1; 142 III 433 E. 4.3.2). Die Frage, ob die Rechtsauffassung der Vorinstanz zutrifft, beschlägt nicht das rechtliche Gehör.</w:t>
      </w:r>
    </w:p>
    <w:p>
      <w:r>
        <w:rPr>
          <w:b/>
        </w:rPr>
        <w:t>E. 3.4.2</w:t>
      </w:r>
    </w:p>
    <w:p>
      <w:r>
        <w:t>Sodann gehen die Beschwerdeführer offensichtlich von falschen Grundlagen aus. So ist der Herabsetzungstatbestand an sich keineswegs unstrittig und geht es auch nicht darum, ob die Beschwerdegegnerin irgendwelche Verrechnungsansprüche geltend machen kann. Die Beschwerdeführer sind eben nur dann zur Erhebung einer Herabsetzungsklage berechtigt, wenn sie dem Werte nach weniger als ihren Pflichtteil erhalten (haben). Dies setzt die Ermittlung der Pflichtteile und damit auch die Bestimmung der Pflichtteilsberechnungsmasse voraus. Hierzu sind gemäss herrschender Lehre und Rechtsprechung zum reinen Nachlass erstens die vom Erblasser zu dessen Lebzeiten getätigten Zuwendungen, soweit sie der Herabsetzung unterliegen ( Art. 475 und Art. 527 ZGB ), und zweitens die der Ausgleichung ( Art. 626 ZGB ) unterliegenden Zuwendungen hinzuzurechnen ( BGE 127 III 396 E. 2a; statt vieler: PIATTI, in: Basler Kommentar, Zivilgesetzbuch, Bd. II, 7. Aufl. 2023, N. 2 zu Art. 522 ZGB ). Dies betrifft sowohl die Zuwendungen i.S.v. Art. 626 Abs. 1 ZGB (gewillkürte Ausgleichung) als auch diejenigen gemäss Art. 626 Abs. 2 ZGB (gesetzliche Ausgleichung; BGE 76 II 188 E. 2) und gilt auch dann, wenn dem Ausgleichungsschuldner kein Ausgleichungsgläubiger gegenübersteht. Relevant ist einzig, dass die Zuwendungen an sich ausgleichungspflichtig wären (EITEL, Die Berücksichtigung lebzeitiger Zuwendungen im Erbrecht, 1998, S. 600 Rz. 22 ff.). Dies ergibt sich bereits aus dem Umstand, dass die Pflichtteilsberechnungsmasse eine rein rechnerische (WOLF/GENNA, Erbrecht, SPR Bd. IV/1, 2012, S. 453), gesetzlich bestimmte (vgl. TUOR, Berner Kommentar, 1952, N. 12 zu Art. 522 ZGB ) Grösse darstellt, die nicht unterschiedlich ausfallen kann, je nach dem wer gegen wen einen Herabsetzungsanspruch geltend macht. Dass die vom Beschwerdeführer 1 und der Mutter der Beschwerdeführer 2-5 erhaltenen lebzeitigen Zuwendungen grundsätzlich ausgleichungspflichtig sind, hat die Vorinstanz bejaht. Die Beschwerdeführer setzen dem vor Bundesgericht abgesehen von ihrer grundsätzlichen Opposition, wonach die Regeln der Ausgleichung per se nicht anwendbar seien, nichts entgegen. Betreffend die Zuwendungen an die Mutter der Beschwerdeführer 2 bis 5 ist an dieser Stelle noch hinzuzufügen, dass die Ausgleichungspflicht für diese Zuwendungen an die Beschwerdeführer 2 bis 5 übergegangen ist ( Art. 627 ZGB ).</w:t>
      </w:r>
    </w:p>
    <w:p>
      <w:r>
        <w:rPr>
          <w:b/>
        </w:rPr>
        <w:t>E. 3.4.3</w:t>
      </w:r>
    </w:p>
    <w:p>
      <w:r>
        <w:t>Die Hinzurechnung von der Ausgleichung unterliegenden Zuwendungen setzt zwar grundsätzlich voraus, dass diese auch</w:t>
      </w:r>
    </w:p>
    <w:p>
      <w:r>
        <w:t>tatsächlich zur Ausgleichung gelangen, was beispielsweise nicht der Fall ist, wenn der Ausgleichungsschuldner das Erbe ausschlägt (siehe dazu EITEL, Die erbrechtliche Berücksichtigung lebzeitiger Zuwendungen, in: ZBJV 142/2006 S. 476 ff.). Dass die Vorbezüge tatsächlich zur Ausgleichung gelangen bedeutet dabei jedoch nur, dass sie zur Anrechnung an das Erbbetreffnis des Empfängers gelangen ( BGE 76 II 188 E. 2). Eben diese Anrechnung hat im Rahmen der konkreten Berechnung ( BGE 133 III 309 E. 5), ob der einen Herabsetzungsanspruch geltend machende Pflichtteilserbe dem Werte nach seinen Pflichtteil erhalten hat, zu erfolgen (vgl. Urteil 5A_610/2013 vom 1. November 2013 E. 2.2.2; TUOR, a.a.O., N. 12 zu Art. 522 ZGB ; HRUBESCH-MILLAUER, in: Abt/Weibel [Hrsg.], Erbrecht, 5. Aufl. 2023, N. 4b zu Art. 522 ZGB ; PIATTI, a.a.O., N. 2 zu Art. 522 ZGB ).</w:t>
      </w:r>
    </w:p>
    <w:p>
      <w:r>
        <w:rPr>
          <w:b/>
        </w:rPr>
        <w:t>E. 3.5</w:t>
      </w:r>
    </w:p>
    <w:p>
      <w:r>
        <w:t>Die Vorinstanz hat demzufolge zu Recht die grundsätzlich der Ausgleichung unterliegenden lebzeitigen Zuwendungen an den Beschwerdeführer 1 und die Mutter der Beschwerdeführer 2 bis 5 sowohl zur Pflichtteilsberechnungsmasse hinzugezogen als auch an ihren Pflichtteil angerechnet. Sie hat mit ihrem Vorgehen daher kein Bundesrecht verletzt; die Argumentation der Beschwerdeführer geht ins Leere. Nachdem sich die Beschwerdeführer gegen die auf dieser Basis erfolgte vorinstanzliche Berechnung nicht zur Wehr setzen, hat es beim angefochtenen Entscheid sein Bewenden. Dies gilt auch für die nur im Hinblick auf das Obsiegen in der Sache angefochtene vorinstanzliche Kostenregelung.</w:t>
      </w:r>
    </w:p>
    <w:p>
      <w:r>
        <w:rPr>
          <w:b/>
        </w:rPr>
        <w:t>E. 4</w:t>
      </w:r>
    </w:p>
    <w:p>
      <w:r>
        <w:t>Die Beschwerde ist abzuweisen. Entsprechend dem Ausgang des Verfahrens haben die Beschwerdeführer zu gleichen Teilen und unter solidarischer Haftbarkeit für die Gerichtskosten aufzukommen ( Art. 66 Abs. 1 und 5 BGG ) und der Beschwerdegegnerin für deren Stellungnahme zum Gesuch um aufschiebende Wirkung eine reduzierte Parteientschädigung zu entrichten (Art. 68 Abs. 1 und 2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