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5A_885/2018 vom 23. Januar 2019</w:t>
      </w:r>
    </w:p>
    <w:p>
      <w:r>
        <w:t>Bundesgericht, 2019-01-23, FR</w:t>
      </w:r>
    </w:p>
    <w:p>
      <w:r>
        <w:rPr>
          <w:b/>
        </w:rPr>
        <w:t xml:space="preserve">Quelle: </w:t>
      </w:r>
      <w:r>
        <w:t>https://mcp.opencaselaw.ch/entscheid/bger_5A_885_2018</w:t>
      </w:r>
    </w:p>
    <w:p>
      <w:r>
        <w:t>FR: TF 5A_885/2018 du 23 janvier 2019</w:t>
      </w:r>
    </w:p>
    <w:p>
      <w:r>
        <w:t>IT: TF 5A_885/2018 del 23 gennaio 2019</w:t>
      </w:r>
    </w:p>
    <w:p>
      <w:pPr>
        <w:pStyle w:val="Heading2"/>
      </w:pPr>
      <w:r>
        <w:t>Erwägungen</w:t>
      </w:r>
    </w:p>
    <w:p>
      <w:r>
        <w:rPr>
          <w:b/>
        </w:rPr>
        <w:t>E. 1</w:t>
      </w:r>
    </w:p>
    <w:p>
      <w:r>
        <w:t>Le Tribunal fédéral examine d'office et librement la recevabilité des recours qui lui sont soumis ( ATF 142 IV 196 consid. 1 et la référence).</w:t>
      </w:r>
    </w:p>
    <w:p>
      <w:r>
        <w:rPr>
          <w:b/>
        </w:rPr>
        <w:t>E. 1.1</w:t>
      </w:r>
    </w:p>
    <w:p>
      <w:r>
        <w:t>Selon l' art. 76 al. 1 LTF a qualité pour former un recours en matière civile quiconque a pris part à la procédure devant l'autorité précédente ou a été privé de la possibilité de le faire (let. a), pour autant qu'il soit particulièrement touché par la décision attaquée et ait un intérêt digne de protection à son annulation ou sa modification (let. b). Si la qualité pour recourir n'est pas évidente, il incombe au recourant de démontrer que les conditions en sont remplies et, pour ce faire, de fournir toutes les données nécessaires ( ATF 138 III 537 consid. 1.2; 133 II 353 consid. 1; arrêt 4A_560/2018 du 16 novembre 2018 consid. 2.1 et les références).</w:t>
      </w:r>
    </w:p>
    <w:p>
      <w:r>
        <w:t>Conformément à l' art. 76 al. 1 let. b LTF , le recourant doit notamment avoir un intérêt digne de protection à l'annulation de la décision attaquée. L'intérêt digne de protection consiste dans l'utilité pratique que l'admission du recours apporterait à son auteur, en lui évitant de subir un préjudice de nature économique, idéale, matérielle ou autre que la décision entreprise lui occasionnerait ( ATF 138 III 537 consid. 1.2.2; 137 II 40 consid. 2.3). L'intérêt à recourir doit être actuel et personnel (arrêts 4A_560/2018 précité; 5A_930/2017 du 17 octobre 2018 consid. 1.2; 5A_236/2015 du 8 mai 2015 consid. 1.2).</w:t>
      </w:r>
    </w:p>
    <w:p>
      <w:r>
        <w:rPr>
          <w:b/>
        </w:rPr>
        <w:t>E. 1.2</w:t>
      </w:r>
    </w:p>
    <w:p>
      <w:r>
        <w:t>En l'espèce, la recourante soutient que si la licéité de la poursuite et de l'adjudication venaient à être confirmées, elle serait opposée à deux créanciers potentiels, puisque C.________ Limited ne s'estime pas liée par cette adjudication et se considère toujours titulaire de la créance contestée, ce qu'elle avait démontré par pièces dans sa plainte du 4 mai 2018. Il n'y avait aucune raison de penser que C.________ Limited n'initierait pas une autre procédure afin de tenter de recouvrer la créance contestée, par exemple devant les juridictions de l'Ile de Man. La recourante estime par conséquent risquer de devoir conduire deux procès en parallèle, qui plus est dans deux juridictions distinctes, lesquelles pourraient finalement la condamner à payer cette créance deux fois. Au surplus, en fonction du droit applicable à la créance contestée, " l'abus du droit de la poursuite initiée par [l'intimé] " pourrait lui permettre de devenir définitivement titulaire de cette créance à son endroit, sans qu'elle puisse forcément lui opposer toutes les exceptions dont elle dispose contre C.________ Limited. La vente aux enchères du 24 avril 2018 lui était donc directement préjudiciable, ses intérêts matériels étant gravement lésés par les effets de cette adjudication. En tout état de cause, lui nier la qualité " pour déposer plainte " reviendrait à exclure tout contrôle des mesures et décisions prises dans le cadre de la poursuite considérée, en tant que C.________ Limited a pris le parti de ne pas intervenir dans la procédure, se " résiliant " à considérer que celle-ci ne lui serait pas opposable.</w:t>
      </w:r>
    </w:p>
    <w:p>
      <w:r>
        <w:rPr>
          <w:b/>
        </w:rPr>
        <w:t>E. 1.3</w:t>
      </w:r>
    </w:p>
    <w:p>
      <w:r>
        <w:t>Il sied de rappeler que la qualité pour recourir au Tribunal fédéral s'examine exclusivement à l'aune de l' art. 76 LTF (arrêt 4A_560/2018 précité consid. 2.1 et la référence). On peut dès lors s'interroger sur l'admissibilité du procédé utilisé par la recourante aux fins de démontrer qu'elle dispose de la qualité pour recourir. Il s'avère en effet que ses considérations consistent en la reproduction de la motivation de son recours cantonal en lien avec sa qualité pour porter plainte au sens de l' art. 17 LP (recours cantonal, ch. 3.2.2 p. 13 s.), ce qui ne paraît guère compatible avec les exigences découlant de l' art. 42 al. 2 LTF (cf. ATF 140 V 22 consid. 7.1; AUBRY GIRARDIN, Commentaire de la LTF, 2ème éd. 2014, n° 30 ad art. 42 LTF et les arrêts cités). Quand bien même l' art. 17 LP exige aussi l'existence d'un intérêt digne de protection ( ATF 139 III 504 consid. 3.3, 384 consid. 2.1), on pouvait à tout le moins attendre de la recourante qu'elle expose en quoi il conviendrait en l'espèce de s'écarter de la jurisprudence qui dénie en principe au tiers débiteur la qualité pour recourir au Tribunal fédéral faute notamment d'intérêt direct au recours contre une saisie ou un séquestre frappant les biens appartenant au débiteur qui fait l'objet de la poursuite (cf. ATF 135 III 46 consid. 4.1 [saisie]; arrêt 5A_249/2010 du 17 juin 2010 consid. 2.4 [séquestre]). Sur ce point, bien que rendue sous l'empire de l'art. 76 al. 1 let. b aLTF, qui exigeait alors un intérêt juridique, cette jurisprudence garde toute sa pertinence à l'aune de l' art. 76 al. 1 let. b LTF dans sa teneur au 1er janvier 2011 (cf. KLETT, in Basler Kommentar, Bundesgerichtsgesetz, 3ème éd. 2018, n° 5 ad art. 76 LTF ; VON WERDT/GÜNGERICH, Bundesgerichtsgesetz (BGG), Stämpflis Handkommentar, 2ème éd. 2015, n° 11 ad art. 76 LTF ; CORBOZ, Commentaire de la LTF, 2ème éd. 2014, n° 23 ad art. 76 LTF , qui tous se réfèrent à l' ATF 135 III 46 ), et on ne voit pas quels motifs justifieraient que le tiers débiteur recouvre sa qualité pour recourir à l'égard d'un acte de l'Office ultérieur à la saisie ou au séquestre.</w:t>
      </w:r>
    </w:p>
    <w:p>
      <w:r>
        <w:t>Quoi qu'il en soit, si tant est qu'il faille en tenir compte, le risque invoqué par la recourante de devoir potentiellement conduire deux procès en parallèle et payer deux fois la créance litigieuse ainsi que de ne pouvoir, en fonction du droit applicable à ladite créance, opposer toutes les exceptions y afférentes ne revêt qu'un caractère abstrait et hypothétique. Même avéré, ce risque est de toute façon inhérent à toute réalisation d'une créance saisie ou séquestrée. Il ne saurait dès lors être retenu au titre de l'intérêt digne de protection à saisir le Tribunal fédéral.</w:t>
      </w:r>
    </w:p>
    <w:p>
      <w:r>
        <w:t>Pour le surplus, il sera rappelé que depuis l'entrée en vigueur de la LTF le 1er janvier 2007, le Tribunal fédéral n'exerce plus la fonction de haute surveillance en matière de poursuites et faillites (art. 15 al. 1 aLP). Contrairement à ce qui valait sous l'empire de l'OJ (cf. ATF 130 III 400 consid. 2; 119 III 4 consid. 1), il n'entre dès lors plus en matière sur un recours irrecevable au motif de l'existence d'une décision frappée de nullité ( ATF 135 III 46 consid. 4.2; arrêts 5A_535/2017 du 1er septembre 2017 consid. 1.2 et les références; 5A_39/2013 du 24 juillet 2013 consid. 3 non publié aux ATF 139 III 384 ). Contrairement aux juges précédents, la Cour de céans n'a donc pas à examiner d'office le grief de prétendue nullité au sens de l' art. 22 LP soulevé par la recourante.</w:t>
      </w:r>
    </w:p>
    <w:p>
      <w:r>
        <w:rPr>
          <w:b/>
        </w:rPr>
        <w:t>E. 2</w:t>
      </w:r>
    </w:p>
    <w:p>
      <w:r>
        <w:t>En définitive, le recours doit être déclaré irrecevable, la recourante ayant échoué à démontrer qu'elle disposait d'un intérêt digne de protection au sens de l' art. 76 al. 1 let. b LTF .</w:t>
      </w:r>
    </w:p>
    <w:p>
      <w:r>
        <w:t>La recourante, qui succombe, supportera les frais judiciaires ( art. 66 al. 1 LTF ). Il n'y a pas lieu d'allouer de dépens à l'intimé, qui a uniquement été invité à se déterminer sur la requête d'effet suspensif et a conclu sans succès à son rejet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