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5A_885/2011 vom 17. Januar 2013</w:t>
      </w:r>
    </w:p>
    <w:p>
      <w:r>
        <w:t>Bundesgericht, 2013-01-17, IT</w:t>
      </w:r>
    </w:p>
    <w:p>
      <w:r>
        <w:rPr>
          <w:b/>
        </w:rPr>
        <w:t xml:space="preserve">Quelle: </w:t>
      </w:r>
      <w:r>
        <w:t>https://mcp.opencaselaw.ch/entscheid/bger_5A_885_2011</w:t>
      </w:r>
    </w:p>
    <w:p>
      <w:r>
        <w:t>FR: TF 5A_885/2011 du 17 janvier 2013</w:t>
      </w:r>
    </w:p>
    <w:p>
      <w:r>
        <w:t>IT: TF 5A_885/2011 del 17 gennaio 2013</w:t>
      </w:r>
    </w:p>
    <w:p>
      <w:pPr>
        <w:pStyle w:val="Heading2"/>
      </w:pPr>
      <w:r>
        <w:t>Erwägungen</w:t>
      </w:r>
    </w:p>
    <w:p>
      <w:r>
        <w:rPr>
          <w:b/>
        </w:rPr>
        <w:t>E. 4.1</w:t>
      </w:r>
    </w:p>
    <w:p>
      <w:r>
        <w:t>Riguardo alla richiesta di gratuito patrocinio per la procedura di seconda istanza, il ricorrente afferma che - contrariamente a quanto stabilito dalla Corte cantonale - il suo appello non appariva destituito di possibilità di successo fin dall'inizio: dato che su ben tre punti del calcolo del suo minimo vitale il Pretore aggiunto avrebbe accertato costi inferiori a quelli effettivamente sostenuti, la vertenza meritava di essere sottoposta ad un grado superiore di giudizio. Il ricorrente sostiene inoltre che, essendo l'oggetto della controversia una questione di vitale importanza per il padre e per la figlia, le esigenze in materia di gratuito patrocinio dovrebbero essere meno severe.</w:t>
      </w:r>
    </w:p>
    <w:p>
      <w:r>
        <w:rPr>
          <w:b/>
        </w:rPr>
        <w:t>E. 4.2</w:t>
      </w:r>
    </w:p>
    <w:p>
      <w:r>
        <w:t>La censura si appalesa inammissibile. Il ricorrente non menziona infatti alcuna norma di diritto costituzionale che sarebbe stata violata dall'autorità cantonale, contrariamente a quanto richiesto dall' art. 106 cpv. 2 LTF . Inoltre, quand'anche si volesse ritenere che il ricorrente avesse inteso invocare la violazione dell' art. 29 cpv. 3 Cost. oppure un'applicazione arbitraria ( art. 9 Cost. ) degli art. 117 segg. CPC, la censura dovrebbe nondimeno essere dichiarata inammissibile, perché priva di una sufficiente motivazione. Egli, infatti, si limita a sottolineare l'importanza della vertenza ed il fatto che quest'ultima fosse meritevole di essere sottoposta ad un grado superiore di giudizio, ma non tenta di dimostrare in che modo i predetti diritti costituzionali sarebbero stati in concreto disattesi.</w:t>
      </w:r>
    </w:p>
    <w:p>
      <w:r>
        <w:rPr>
          <w:b/>
        </w:rPr>
        <w:t>E. 5</w:t>
      </w:r>
    </w:p>
    <w:p>
      <w:r>
        <w:t>Da quanto precede discende che il ricorso va respinto nella misura della sua ammissibilità. Pure la domanda di assistenza giudiziaria va respinta, a prescindere dall'asserita indigenza del ricorrente, atteso che il ricorso non aveva fin dall'inizio probabilità di successo ( art. 64 cpv. 1 LTF ). Le spese giudiziarie seguono la soccombenza ( art. 66 cpv. 1 LTF ). Non si assegnano ripetibili all'opponente che, non invitata ad esprimersi sul ricorso, non è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