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884/2010 vom 7. Januar 2011</w:t>
      </w:r>
    </w:p>
    <w:p>
      <w:r>
        <w:t>Bundesgericht, 2011-01-07, FR</w:t>
      </w:r>
    </w:p>
    <w:p>
      <w:r>
        <w:rPr>
          <w:b/>
        </w:rPr>
        <w:t xml:space="preserve">Quelle: </w:t>
      </w:r>
      <w:r>
        <w:t>https://mcp.opencaselaw.ch/entscheid/bger_5A_884_2010</w:t>
      </w:r>
    </w:p>
    <w:p>
      <w:r>
        <w:t>FR: TF 5A 884/2010 du 7 janvier 2011</w:t>
      </w:r>
    </w:p>
    <w:p>
      <w:r>
        <w:t>IT: TF 5A 884/2010 del 7 gennaio 2011</w:t>
      </w:r>
    </w:p>
    <w:p>
      <w:pPr>
        <w:pStyle w:val="Heading2"/>
      </w:pPr>
      <w:r>
        <w:t>Regeste</w:t>
      </w:r>
    </w:p>
    <w:p>
      <w:r>
        <w:t>administration de la tutelle | Droit de la famille</w:t>
      </w:r>
    </w:p>
    <w:p>
      <w:pPr>
        <w:pStyle w:val="Heading2"/>
      </w:pPr>
      <w:r>
        <w:t>Erwägungen</w:t>
      </w:r>
    </w:p>
    <w:p>
      <w:r>
        <w:rPr>
          <w:b/>
        </w:rPr>
        <w:t>E. 1</w:t>
      </w:r>
    </w:p>
    <w:p>
      <w:r>
        <w:t>La décision attaquée est une décision finale ( art. 90 LTF ), rendue en matière de surveillance des autorités de tutelle (art. 72 al. 2 let. b ch. 5 LTF), par une autorité cantonale de surveillance de dernière instance ( art. 75 LTF ).</w:t>
      </w:r>
    </w:p>
    <w:p>
      <w:r>
        <w:rPr>
          <w:b/>
        </w:rPr>
        <w:t>E. 2</w:t>
      </w:r>
    </w:p>
    <w:p>
      <w:r>
        <w:t>En vertu de l' art. 76 al. 1 LTF , a qualité pour former un recours en matière civile quiconque a pris part à la procédure devant l'autorité précédente ou a été privé de la possibilité de le faire (let. a) et a un intérêt juridique à l'annulation ou à la modification de la décision attaquée (let. b). Un intérêt est juridiquement protégé s'il est sanctionné par une garantie constitutionnelle spécifique ou si une règle de droit cantonal ou fédéral tend au moins accessoirement à sa protection (cf. notamment ATF 126 I 43 consid. 1a, 81 consid. 3a; 118 Ia 46 consid. 3a).</w:t>
      </w:r>
    </w:p>
    <w:p>
      <w:r>
        <w:rPr>
          <w:b/>
        </w:rPr>
        <w:t>E. 2.1</w:t>
      </w:r>
    </w:p>
    <w:p>
      <w:r>
        <w:t>Le droit fédéral prévoit que le pupille capable de discernement peut recourir à l'autorité tutélaire contre les actes de son tuteur ( art. 420 al. 1 CC ), ainsi qu'à l'autorité de surveillance contre les décisions de l'autorité tutélaire ( art. 420 al. 2 CC ). Il s'agit là d'un droit strictement personnel (DESCHENAUX/STEINAUER, Personnes physiques et tutelle, 2001, n. 228a; BUCHER, Commentaire bernois, n. 270 ad art. 19 CC ; BIGLER-EGGENBERGER, Commentaire bâlois, 2010, n. 40 ad art. 19 CC ). En vertu de l' art. 19 al. 2 CC , le pupille capable de discernement peut ester en justice pour faire valoir les prétentions qui se rattachent à un tel droit sans l'accord de son représentant légal; il peut, à cet effet, choisir librement son mandataire. Dans le cadre de cette action en justice, il ne saurait toutefois entreprendre la défense d'intérêts pécuniaires, celle-ci n'étant pas considérée comme l'exercice d'un droit strictement personnel (arrêt 5P.408/2003 du 22 décembre 2003 consid. 1.3.1 publié in: SJ 2004 I p. 458; DESCHENAUX/STEINAUER, op. cit., n. 222 et 228a). Le pupille capable de discernement qui entend intenter des actions pécuniaires doit être représenté par son représentant légal ( art. 19 al. 1, 410-411 CC ; DESCHENAUX/STEINAUER, op. cit., n. 238 ss); en cas de conflit d'intérêts entre le pupille et son tuteur, il y a lieu de lui désigner un curateur ( art. 392 ch. 2 CC ; ATF 107 II 105 consid. 4). Le pupille capable de discernement a aussi la faculté de former un recours en matière civile au Tribunal fédéral ( art. 76 al. 1 LTF ), comme d'ailleurs un recours constitutionnel subsidiaire ( art. 115 LTF ), mais uniquement pour faire valoir un droit strictement personnel (cf. arrêt 5A_844/2009 du 26 février 2010; pour l'ancien droit, ATF 120 Ia 369 consid. 1a; cf. également DESCHENAUX/STEINAUER, op. cit., n. 1011 et 1014; BUCHER, op. cit., n. 272).</w:t>
      </w:r>
    </w:p>
    <w:p>
      <w:r>
        <w:rPr>
          <w:b/>
        </w:rPr>
        <w:t>E. 2.2</w:t>
      </w:r>
    </w:p>
    <w:p>
      <w:r>
        <w:t>Selon les constatations de l'arrêt attaqué, le pupille était capable de discernement et a été entendu par la justice de paix à son audience du 16 mars 2010. Cela étant, il a la qualité pour interjeter le présent recours, mais uniquement pour invoquer des prétentions rattachées à son droit strictement personnel de recourir, ce qui serait le cas s'il dénonçait par exemple une violation de son droit d'être entendu. Dans la mesure où le recourant ne fait que critiquer la décision au fond, dans sa seule motivation subsidiaire - critique dont la recevabilité est elle-même problématique ( art. 42 al. 2 LTF ) -, faisant valoir que la seconde expertise n'aurait pas dû être ordonnée et que les frais ne peuvent être mis à sa charge, il ne dispose pas de la qualité pour recourir.</w:t>
      </w:r>
    </w:p>
    <w:p>
      <w:r>
        <w:rPr>
          <w:b/>
        </w:rPr>
        <w:t>E. 3</w:t>
      </w:r>
    </w:p>
    <w:p>
      <w:r>
        <w:t>Le recours doit par conséquent être déclaré irrecevable. Le recourant, qui succombe, doit supporter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