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5A_883/2025 vom 20. April 2026</w:t>
      </w:r>
    </w:p>
    <w:p>
      <w:r>
        <w:t>Bundesgericht, 2026-04-20, FR</w:t>
      </w:r>
    </w:p>
    <w:p>
      <w:r>
        <w:rPr>
          <w:b/>
        </w:rPr>
        <w:t xml:space="preserve">Quelle: </w:t>
      </w:r>
      <w:r>
        <w:t>https://mcp.opencaselaw.ch/entscheid/bger_5A_883_2025</w:t>
      </w:r>
    </w:p>
    <w:p>
      <w:r>
        <w:t>FR: TF 5A_883/2025 du 20 avril 2026</w:t>
      </w:r>
    </w:p>
    <w:p>
      <w:r>
        <w:t>IT: TF 5A_883/2025 del 20 aprile 2026</w:t>
      </w:r>
    </w:p>
    <w:p>
      <w:pPr>
        <w:pStyle w:val="Heading2"/>
      </w:pPr>
      <w:r>
        <w:t>Erwägungen</w:t>
      </w:r>
    </w:p>
    <w:p>
      <w:r>
        <w:rPr>
          <w:b/>
        </w:rPr>
        <w:t>E. 1</w:t>
      </w:r>
    </w:p>
    <w:p>
      <w:r>
        <w:t>Le litige concerne la désignation par l'autorité de première instance d'un représentant de l'enfant au sens de l' art. 314a bis CC .</w:t>
      </w:r>
    </w:p>
    <w:p>
      <w:r>
        <w:rPr>
          <w:b/>
        </w:rPr>
        <w:t>E. 1.1</w:t>
      </w:r>
    </w:p>
    <w:p>
      <w:r>
        <w:t>Le Tribunal fédéral examine d'office sa compétence ( art. 29 al. 1 LTF ) et contrôle librement la recevabilité des recours qui lui sont soumis ( ATF 151 IV 175 consid. 2; 150 IV 103 consid. 1; 149 II 476 consid. 1).</w:t>
      </w:r>
    </w:p>
    <w:p>
      <w:r>
        <w:rPr>
          <w:b/>
        </w:rPr>
        <w:t>E. 1.2</w:t>
      </w:r>
    </w:p>
    <w:p>
      <w:r>
        <w:t>Dans son mémoire, la recourante qualifie la décision entreprise de finale au sens de l' art. 90 LTF . C'est méconnaître qu'il s'agit en l'occurrence d'une décision préjudicielle ou incidente qui ne concerne ni la compétence ni la récusation, dès lors qu'elle ne met pas un terme à la procédure au fond ( art. 93 LTF ; cf. ATF 147 III 451 consid. 1.2 [ad art. 299 al. 3 CPC ]; arrêts 5A_1037/2025 du 20 avril 2026 consid. 1.1; 5A_13/2025 du 15 janvier 2025 consid. 1.1; 5A_823/2022 du 17 mai 2023 consid. 1.2.1; 5A_167/2020 du 15 juillet 2020 consid. 1.2.1).</w:t>
      </w:r>
    </w:p>
    <w:p>
      <w:r>
        <w:rPr>
          <w:b/>
        </w:rPr>
        <w:t>E. 1.2.1</w:t>
      </w:r>
    </w:p>
    <w:p>
      <w:r>
        <w:t>Aux termes de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 Si le recours n'est pas recevable en vertu de l' art. 93 al. 1 LTF ou qu'il n'a pas été utilisé, les décisions préjudicielles et incidentes peuvent être attaquées par un recours contre la décision finale dans la mesure où elles influent sur le contenu de celle-ci ( art. 93 al. 3 LTF ).</w:t>
      </w:r>
    </w:p>
    <w:p>
      <w:r>
        <w:rPr>
          <w:b/>
        </w:rPr>
        <w:t>E. 1.2.2</w:t>
      </w:r>
    </w:p>
    <w:p>
      <w:r>
        <w:t>L'hypothèse de l' art. 93 al. 1 let. b LTF n'entrant pas en considération dans le cas d'espèce, il sied d'examiner la question de la recevabilité du recours à l'aune de l' art. 93 al. 1 let. a LTF uniquement.</w:t>
      </w:r>
    </w:p>
    <w:p>
      <w:r>
        <w:t>Un préjudice ne peut être qualifié d'irréparable au sens de l' art. 93 al. 1 let. a LTF que s'il est susceptible de causer un dommage de nature juridique qu'une décision sur le fond ne ferait pas disparaître entièrement ( ATF 150 IV 103 consid. 1.2.1; 149 II 70 consid. 1.3; 148 IV 155 consid. 1.1); un dommage économique ou de pur fait, tel que l'accroissement des frais de la procédure ou la prolongation de celle-ci, ne suffit pas ( ATF 150 III 248 consid. 1.2; 149 II 476 consid. 1.2.1; 147 III 159 consid. 4.1). À moins que cela ne fasse aucun doute, il incombe à la partie recourante d'indiquer de manière détaillée en quoi elle se trouve menacée d'un préjudice juridique irréparable par la décision incidente qu'elle conteste; à défaut, le recours est irrecevable ( ATF 150 III 248 consid. 1.2; 147 III 159 consid. 4.1; 144 III 475 consid. 1.2; 142 III 798 consid. 2.2).</w:t>
      </w:r>
    </w:p>
    <w:p>
      <w:r>
        <w:rPr>
          <w:b/>
        </w:rPr>
        <w:t>E. 1.2.3</w:t>
      </w:r>
    </w:p>
    <w:p>
      <w:r>
        <w:t>La recourante conteste le principe même de la désignation d'une curatrice de représentation à son enfant et, en partant de la prémisse erronée que la décision litigieuse était finale, elle n'a pas motivé la recevabilité du recours au regard de l' art. 93 al. 1 let. a LTF , ce qu'il lui incombait de faire (cf.</w:t>
      </w:r>
    </w:p>
    <w:p>
      <w:r>
        <w:t>supra consid. 1.2.2). Or, dans les circonstances du cas d'espèce, on ne saurait considérer qu'il ne ferait aucun doute que cette décision risquerait de lui causer un préjudice irréparable; on ne voit en particulier pas en quoi le fait que la curatrice puisse faire des propositions (cf. toutefois versions allemande [</w:t>
      </w:r>
    </w:p>
    <w:p>
      <w:r>
        <w:t>Anträge ] et italienne [</w:t>
      </w:r>
    </w:p>
    <w:p>
      <w:r>
        <w:t>conclusioni ]) et agir en justice au sens de l' art. 314a bis al. 3 CC réaliserait d'emblée cette condition, ce d'autant plus que la maxime d'office s'applique ( art. 446 al. 3 CC</w:t>
      </w:r>
    </w:p>
    <w:p>
      <w:r>
        <w:t>cum</w:t>
      </w:r>
    </w:p>
    <w:p>
      <w:r>
        <w:t>art. 314 al. 1 CC ), étant relevé que, dans une constellation comparable, la jurisprudence n'a retenu un tel préjudice que dans le contexte limité d'un recours où seul le respect du droit d'être entendu du parent recourant était litigieux (arrêt 5A_11/2025 du 27 février 2025 consid. 1), respectivement l'a écarté dans un cas où des parents invoquaient la limitation des prérogatives découlant de leur autorité parentale (arrêt 5A_1037/2025 précité consid. 1.2.3).</w:t>
      </w:r>
    </w:p>
    <w:p>
      <w:r>
        <w:rPr>
          <w:b/>
        </w:rPr>
        <w:t>E. 2</w:t>
      </w:r>
    </w:p>
    <w:p>
      <w:r>
        <w:t>En définitive, le recours est irrecevable. Le recours étant d'emblée voué à l'échec, la requête d'assistance judiciaire de la recourante ne saurait être agréée ( art. 64 al. 1 LTF ). Les frais judiciaires, dont font partie les frais de représentation du mineur (arrêts 5A_1036/2025 du 18 décembre 2025 consid. 6; 5A_641/2025 du 8 octobre 2025 consid. 4), sont mis à la charge de la recourante, qui succombe ( art. 66 al. 1 LTF ). L'intimé et la curatrice de représentation de l'enfant, de même que le SPMi et la cour cantonale, ont été invités à se déterminer sur la requête d'effet suspensif assortissant le recours. Aucun dépens n'est alloué à l'intimé, qui a succombé s'agissant de l'effet suspensif ( art. 68 al. 1 LTF ); l'État n'y a pas droit non plus ( art. 68 al. 3 LTF ); en revanche, une indemnité doit être versée à la curatrice de représentation de l'enfant.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