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5A_882/2023 vom 3. Juni 2024</w:t>
      </w:r>
    </w:p>
    <w:p>
      <w:r>
        <w:t>Bundesgericht, 2024-06-03, FR</w:t>
      </w:r>
    </w:p>
    <w:p>
      <w:r>
        <w:rPr>
          <w:b/>
        </w:rPr>
        <w:t xml:space="preserve">Quelle: </w:t>
      </w:r>
      <w:r>
        <w:t>https://mcp.opencaselaw.ch/entscheid/bger_5A_882_2023</w:t>
      </w:r>
    </w:p>
    <w:p>
      <w:r>
        <w:t>FR: TF 5A_882/2023 du 3 juin 2024</w:t>
      </w:r>
    </w:p>
    <w:p>
      <w:r>
        <w:t>IT: TF 5A_882/2023 del 3 giugno 2024</w:t>
      </w:r>
    </w:p>
    <w:p>
      <w:pPr>
        <w:pStyle w:val="Heading2"/>
      </w:pPr>
      <w:r>
        <w:t>Erwägungen</w:t>
      </w:r>
    </w:p>
    <w:p>
      <w:r>
        <w:rPr>
          <w:b/>
        </w:rPr>
        <w:t>E. 1</w:t>
      </w:r>
    </w:p>
    <w:p>
      <w:r>
        <w:t>Le recours est dirigé contre une décision finale ( art. 90 LTF ; ATF 134 III 426 consid. 2.2), rendue dans une affaire matrimoniale ( art. 72 al. 1 LTF ) de nature pécuniaire, dont la valeur litigieuse atteint 30'000 fr. (art. 51 al. 1 let. a et al. 4 et 74 al. 1 let. b LTF), par une autorité supérieure statuant sur recours et en dernière instance cantonale ( art. 75 al. 1 et 2 LTF ); le recourant, qui a agi à temps ( art. 100 al. 1 LTF ), a qualité pour recourir ( art. 76 al. 1 let. a et b LTF ). Le recours en matière civile est en principe recevable.</w:t>
      </w:r>
    </w:p>
    <w:p>
      <w:r>
        <w:rPr>
          <w:b/>
        </w:rPr>
        <w:t>E. 2.1</w:t>
      </w:r>
    </w:p>
    <w:p>
      <w:r>
        <w:t>La décision attaquée porte sur des mesures provisionnelles au sens de l' art. 98 LTF ( ATF 134 III 667 consid. 1.1; 133 III 393 consid. 5, 585 consid. 3.3),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invoque l'arbitraire dans l'application de l' art. 179 CC ainsi que dans l'établissement des faits.</w:t>
      </w:r>
    </w:p>
    <w:p>
      <w:r>
        <w:rPr>
          <w:b/>
        </w:rPr>
        <w:t>E. 3.1.1</w:t>
      </w:r>
    </w:p>
    <w:p>
      <w:r>
        <w:t>Les règles relatives à la modification des mesures protectrices de l'union conjugale s'appliquent par analogie en cas de changement pendant une procédure de divorce ( art. 179 al. 1 CC et art. 276 CPC ; ATF 143 III 617 consid. 3.1; arrêt 5A_895/2022 du 17 juillet 2023 consid. 10.2.1 et les références).</w:t>
      </w:r>
    </w:p>
    <w:p>
      <w:r>
        <w:rPr>
          <w:b/>
        </w:rPr>
        <w:t>E. 3.1.2</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 art. 179 al. 1 CC ; ATF 143 III 617 consid. 3.1; 141 III 617 consid. 3.1 et les références; arrêts 5A_895/2022 précité</w:t>
      </w:r>
    </w:p>
    <w:p>
      <w:r>
        <w:t>loc. cit. ; 5A_42/2022 du 19 mai 2022 consid. 4.1).</w:t>
      </w:r>
    </w:p>
    <w:p>
      <w:r>
        <w:t>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5A_895/2022 précité</w:t>
      </w:r>
    </w:p>
    <w:p>
      <w:r>
        <w:t>loc. cit. ; 5A_42/2022 précité</w:t>
      </w:r>
    </w:p>
    <w:p>
      <w:r>
        <w:t>loc. cit. et la référence), car la procédure de modification n'a pas pour but de corriger le premier jugement, mais de l'adapter aux circonstances nouvelles ( ATF 137 III 604 consid. 4.1.1; 131 III 189 consid. 2.7.4).</w:t>
      </w:r>
    </w:p>
    <w:p>
      <w:r>
        <w:rPr>
          <w:b/>
        </w:rPr>
        <w:t>E. 3.2</w:t>
      </w:r>
    </w:p>
    <w:p>
      <w:r>
        <w:t>La contribution d'entretien de l'intimée a été arrêtée sur mesures protectrices de l'union conjugale à 425 fr. par mois dès le mois de septembre 2020; dès la prise à bail d'un logement en Suisse par l'intimée - à une date qui pouvait survenir à tout moment dès le prononcé -, le manco de l'épouse, à savoir 1'100 fr. après utilisation du disponible du recourant (soit: 731 fr.), devait être couvert par la fortune des parties à hauteur de la moitié chacune (soit 550 fr.), portant ainsi la contribution du recourant en faveur de l'intimée à 1'280 fr. (soit: 731 fr. + 550 fr., montant arrondi).</w:t>
      </w:r>
    </w:p>
    <w:p>
      <w:r>
        <w:t>La fortune mobilière personnelle du recourant était arrêtée à 42'722 fr., somme répartie sur trois comptes bancaires. L'intimée disposait pour sa part d'un compte ouvert auprès de l'UBS (solde: 15'360 fr.) et d'un montant de 115'362 fr. provenant de la succession de son père et prêté à sa soeur - prêt dont il a été considéré qu'elle pouvait obtenir le remboursement immédiat sous forme d'amortissements réguliers.</w:t>
      </w:r>
    </w:p>
    <w:p>
      <w:r>
        <w:rPr>
          <w:b/>
        </w:rPr>
        <w:t>E. 3.2.1</w:t>
      </w:r>
    </w:p>
    <w:p>
      <w:r>
        <w:t>Admettant la requête de modification du recourant, le juge de district a considéré que la fortune de l'intéressé avait fortement diminué depuis le prononcé de la décision de mesures protectrices de l'union conjugale, passant à 10'500 fr. environ, l'intéressé étant en outre débiteur d'un prêt sans intérêt envers son fils de 5'000 fr. Le solde du compte détenu auprès de l'UBS ne pouvait par ailleurs être pris en considération, ces fonds étant affectés au paiement des charges de l'appartement dont le recourant était propriétaire à U.________. En tant que la fortune mobilière du recourant n'excédait pas le seuil de la "réserve de secours", elle ne pouvait ainsi être mise à contribution pour assurer l'entretien des époux. Ce fait nouveau, important et durable, justifiait la modification des contributions d'entretien.</w:t>
      </w:r>
    </w:p>
    <w:p>
      <w:r>
        <w:rPr>
          <w:b/>
        </w:rPr>
        <w:t>E. 3.2.2</w:t>
      </w:r>
    </w:p>
    <w:p>
      <w:r>
        <w:t>Le juge cantonal a en revanche considéré qu'une certaine diminution de la fortune mobilière du recourant postérieurement au prononcé de la décision de mesures protectrices était la conséquence logique de la décision elle-même, qui prévoyait la mise à contribution de la fortune des époux pour combler leur déficit. Elle ne constituait dès lors pas un fait nouveau, pour autant qu'elle se situât dans le cadre des prévisions et qu'il ne s'agît pas de l'épuisement total de la fortune, sous réserve de l'abus de droit.</w:t>
      </w:r>
    </w:p>
    <w:p>
      <w:r>
        <w:t>Tel n'était pas le cas ici. Une diminution de la fortune du recourant de 17'825 fr. (2'975 fr. [contributions rétroactives de 425 fr. par mois entre septembre 2020 et mars 2021] + 14'850 fr. [550 fr. d'avril 2021 à juin 2023]) était ainsi prévisible, sans compter le paiement des frais de procédure (3'725 fr.), ce qui portait cette fortune à 21'222 fr. (42'772 fr. - 17'825 fr. - 3'725 fr.). La fortune du recourant au moment du dépôt de sa requête de modification devait par ailleurs s'apprécier en prenant en considération le solde du compte UBS de 4'315 fr.: la décision de mesures protectrices de l'union conjugale ne réservait en effet aucun montant destiné au paiement des charges de l'appartement de U.________, lesquelles étaient au demeurant prises en compte dans l'établissement du revenu que l'intéressé en retirait. Devait de même être inclus dans sa fortune un montant de 9'720 fr., correspondant aux loyers que le recourant avait cumulés en Algérie entre avril 2021 et juin 2023, celui-ci échouant à rendre vraisemblable que leur défaut de perception résulterait de motifs autres qu'un choix délibéré; or la diminution de fortune en Suisse était pour une part non négligeable directement liée au fait qu'il n'avait pas utilisé les montants perçus en Algérie pour s'acquitter des contributions d'entretien. En augmentant ainsi la fortune mobilière actuelle du recourant (10'500 fr.) de ces différents postes (4'315 fr. + 9'720 fr.), celle-ci atteignait 19'535 fr., montant entrant dans les prévisions au moment du prononcé de la décision de mesures protectrices dont la modification était demandée. Le solde de la fortune du recourant au moment du dépôt de sa requête de modification lui permettait d'ailleurs encore de couvrir sur plusieurs mois la part du déficit de l'épouse de 550 fr., ce même en l'absence de mise à contribution des revenus locatifs algériens.</w:t>
      </w:r>
    </w:p>
    <w:p>
      <w:r>
        <w:t>Le magistrat cantonal a enfin souligné que la notion de "réserve de secours" à laquelle se référait le juge de première instance, développée en matière d'assistance judiciaire, ne pouvait être transposée sans autre en matière de contribution d'entretien, étant de surcroît précisé que la décision de mesures protectrices ne limitait pas la mise à contribution de la fortune à une partie excédant une "réserve de secours". Non seulement la fortune pouvait ainsi être mise à contribution jusqu'à épuisement si nécessaire, mais il fallait de surcroît relever que les biens immobiliers dont le recourant était propriétaire (biens immobiliers sis à U.________ et en Algérie; quote-part du logement familial) constituaient une réserve de secours suffisante.</w:t>
      </w:r>
    </w:p>
    <w:p>
      <w:r>
        <w:rPr>
          <w:b/>
        </w:rPr>
        <w:t>E. 3.3</w:t>
      </w:r>
    </w:p>
    <w:p>
      <w:r>
        <w:t>L'essentiel de l'argumentation développée par le recourant est appellatoire ou ne cerne aucunement l'intégralité de la motivation qui vient d'être résumée.</w:t>
      </w:r>
    </w:p>
    <w:p>
      <w:r>
        <w:rPr>
          <w:b/>
        </w:rPr>
        <w:t>E. 3.3.1</w:t>
      </w:r>
    </w:p>
    <w:p>
      <w:r>
        <w:t>Au sujet de la prise en considération des fonds détenus auprès de l'UBS, le recourant se limite à réitérer l'affirmation selon laquelle ceux-ci seraient exclusivement destinés à acquitter les charges de l'immeuble dont il était propriétaire à U.________, sans nullement critiquer la motivation cantonale expliquant les raisons pour lesquelles cette affectation ne pouvait être retenue. Ses considérations sur la violation potentielle de ses obligations de bailleur que pourrait entraîner un défaut de paiement de ces charges ne sont en conséquence pas pertinentes.</w:t>
      </w:r>
    </w:p>
    <w:p>
      <w:r>
        <w:rPr>
          <w:b/>
        </w:rPr>
        <w:t>E. 3.3.2</w:t>
      </w:r>
    </w:p>
    <w:p>
      <w:r>
        <w:t>Le recourant conteste ensuite la possibilité de percevoir les loyers algériens en rappelant avoir déclaré en audience que " sa locataire a[vait] été malade pendant une année et [lui avait] déclaré qu'elle ne pourrait pas payer pendant cette période ". Le recourant souligne par ailleurs dans ce contexte que l'autorisation de la Banque d'Algérie d'exporter des fonds liquides en dehors de cet État - éventualité expressément retenue par l'autorité cantonale pour retenir la possible perception desdits loyers - était soumise à sa présence sur le territoire; or il ne s'y était pas rendu et " il ne pouvait] pas lui en être fait le reproche, dans la mesure où un tel voyage représent[ait] des dépenses considérables ". Ces affirmations, qui ne sont au demeurant étayées par aucun moyen de preuve, sont à l'évidence insuffisantes à écarter la réalité de ces loyers et à établir l'impossibilité de les encaisser.</w:t>
      </w:r>
    </w:p>
    <w:p>
      <w:r>
        <w:rPr>
          <w:b/>
        </w:rPr>
        <w:t>E. 3.3.3</w:t>
      </w:r>
    </w:p>
    <w:p>
      <w:r>
        <w:t>Le recourant ne critique au surplus aucunement les autres éléments ressortant de la motivation cantonale, se bornant à s'insurger du caractère choquant de son résultat en tant qu'il avait " pour conséquence d'annihiler [sa] fortune " alors même qu'il avait " de nombreuses charges fixes" dont il devait s'acquitter. Cette motivation toute générale n'est assurément pas efficace à démontrer l'arbitraire du raisonnement cantonal.</w:t>
      </w:r>
    </w:p>
    <w:p>
      <w:r>
        <w:rPr>
          <w:b/>
        </w:rPr>
        <w:t>E. 3.4</w:t>
      </w:r>
    </w:p>
    <w:p>
      <w:r>
        <w:t>Les considérations qui précèdent permettent de retenir que c'est en vain que le recourant invoque l'application arbitraire de l' art. 179 CC : l'argumentation qu'il développe sur ce point, dès lors que fondée sur les critiques qui viennent d'être écartées, est manifestement inapte à contrer la motivation cantonale rejetant la survenance d'un fait nouveau, essentiel et durable au sens couramment admis par la jurisprudence rappelée plus haut (</w:t>
      </w:r>
    </w:p>
    <w:p>
      <w:r>
        <w:t>supra consid. 3.1.2). Est enfin vaine sa référence à la fonction de "réserve de secours" que lui garantirait sa fortune dans la mesure où elle est opposée sans motivation aucune au raisonnement développé sur ce point par l'autorité cantonale.</w:t>
      </w:r>
    </w:p>
    <w:p>
      <w:r>
        <w:rPr>
          <w:b/>
        </w:rPr>
        <w:t>E. 4</w:t>
      </w:r>
    </w:p>
    <w:p>
      <w:r>
        <w:t>En définitive, la motivation déficiente du recours conduit à son irrecevabilité. Dès lors que les conclusions du recours apparaissaient d'emblée dépourvues de chances de succès, la requête d'assistance judiciaire du recourant doit être rejetée ( art. 64 al. 1 LTF ), celui-ci supportant en conséquence les frais de la procédure ( art. 66 al. 1 LTF ). Il n'a pas lieu d'allouer de dépens à l'intimée, qui n'a pas été invitée à se déterminer sur le fond et qui a conclu au rejet de l'effet suspensif, alors que celui-ci a été partiellement accordé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