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5A_882/2019 vom 7. November 2019</w:t>
      </w:r>
    </w:p>
    <w:p>
      <w:r>
        <w:t>Bundesgericht, 2019-11-07, DE</w:t>
      </w:r>
    </w:p>
    <w:p>
      <w:r>
        <w:rPr>
          <w:b/>
        </w:rPr>
        <w:t xml:space="preserve">Quelle: </w:t>
      </w:r>
      <w:r>
        <w:t>https://mcp.opencaselaw.ch/entscheid/bger_5A_882_2019</w:t>
      </w:r>
    </w:p>
    <w:p>
      <w:r>
        <w:t>FR: TF 5A_882/2019 du 7 novembre 2019</w:t>
      </w:r>
    </w:p>
    <w:p>
      <w:r>
        <w:t>IT: TF 5A_882/2019 del 7 novembre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Eine solche Darlegung enthält die Beschwerde nicht. Nebst allgemeiner Polemik und Rundumschlägen gegen die beteiligten Behörden ist das Kernanliegen des Beschwerdeführers, dass Betreibungen gegen Sozialhilfeempfänger, bei denen per se nichts zu holen sei, illegal seien, ohne sich jedoch mit der zentralen Erwägung im angefochtenen Entscheid auseinanderzusetzen, dass das Betreibungsamt nur die formellen Voraussetzungen der Betreibung, nicht aber die materielle Begründetheit der Forderung prüfen dürfe. Im Übrigen hat jeder Gläubiger das Recht, seine Forderungen einzutreiben und bei fehlendem Vollstreckungssubstrat einen Verlustschein zu erwirken.</w:t>
      </w:r>
    </w:p>
    <w:p>
      <w:r>
        <w:rPr>
          <w:b/>
        </w:rPr>
        <w:t>E. 3</w:t>
      </w:r>
    </w:p>
    <w:p>
      <w:r>
        <w:t>Nach dem Gesagten erweist sich die Beschwerde als offensichtlich nicht hinreichend begründet, weshalb auf sie nicht eingetreten werden kann und im vereinfachten Verfahren nach Art. 108 Abs. 1 lit. b BGG zu entscheiden ist.</w:t>
      </w:r>
    </w:p>
    <w:p>
      <w:r>
        <w:rPr>
          <w:b/>
        </w:rPr>
        <w:t>E. 4</w:t>
      </w:r>
    </w:p>
    <w:p>
      <w:r>
        <w:t>Angesichts der konkreten Umstände wird auf die Erhebung von Gerichtskosten ausnahmsweise verzichtet ( Art. 66 Abs. 1 BGG ). Damit ist das sinngemäss gestellte Gesuch um unentgeltliche Rechtspflege gegenstandslos. Dem Beschwerdeführer wird indes ausdrücklich angedroht, dass sich das Bundesgericht vorbehält, querulatorische Eingaben in der Art der vorliegenden zukünftig ohne Antwort abzulegen (vgl. Art. 42 Abs. 7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