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87/2025 vom 31. Januar 2025</w:t>
      </w:r>
    </w:p>
    <w:p>
      <w:r>
        <w:t>Bundesgericht, 2025-01-31, DE</w:t>
      </w:r>
    </w:p>
    <w:p>
      <w:r>
        <w:rPr>
          <w:b/>
        </w:rPr>
        <w:t xml:space="preserve">Quelle: </w:t>
      </w:r>
      <w:r>
        <w:t>https://mcp.opencaselaw.ch/entscheid/bger_5A_87_2025</w:t>
      </w:r>
    </w:p>
    <w:p>
      <w:r>
        <w:t>FR: TF 5A 87/2025 du 31 janvier 2025</w:t>
      </w:r>
    </w:p>
    <w:p>
      <w:r>
        <w:t>IT: TF 5A 87/2025 del 31 gennaio 2025</w:t>
      </w:r>
    </w:p>
    <w:p>
      <w:pPr>
        <w:pStyle w:val="Heading2"/>
      </w:pPr>
      <w:r>
        <w:t>Regeste</w:t>
      </w:r>
    </w:p>
    <w:p>
      <w:r>
        <w:t>Retentionsurkunde | Schuldbetreibungs- und Konkursrecht</w:t>
      </w:r>
    </w:p>
    <w:p>
      <w:pPr>
        <w:pStyle w:val="Heading2"/>
      </w:pPr>
      <w:r>
        <w:t>Erwägungen</w:t>
      </w:r>
    </w:p>
    <w:p>
      <w:r>
        <w:rPr>
          <w:b/>
        </w:rPr>
        <w:t>E. 1</w:t>
      </w:r>
    </w:p>
    <w:p>
      <w:r>
        <w:t>Am 13. November 2024 erhoben die Beschwerdeführer (Schuldner) bei der Aufsichtsbehörde für Schuldbetreibung und Konkurs des Kantons Solothurn Beschwerde gegen ein Retentionsverzeichnis vom 24. Oktober 2024. Mit Urteil vom 10. Januar 2025 wies die Aufsichtsbehörde die Beschwerde ab. Dagegen haben die Beschwerdeführer am 29. Januar 2025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Die Beschwerdeführer machen - wie bereits vor der Aufsichtsbehörde - geltend, die Forderungssumme von Fr. 52'698.30 sei nicht korrekt, die in die Retentionsurkunde aufgenommenen Gegenstände seien nicht pfändbar und sie unterlägen nicht der Retention, da sie vor zwei Jahren verkauft worden seien. Mit den Erwägungen der Aufsichtsbehörde zu diesen Punkten setzen sich die Beschwerdeführer nicht auseinander. Stattdessen schildern sie den Sachverhalt aus eigener Sicht, indem sie die offene Schuld abweichend berechnen und behaupten, die Vermieterin sei vor zwei Jahren darüber informiert worden, dass sie Maschinen und Inventar verkauft hätten. Die Beschwerde enthält offensichtlich keine hinreichende Begründung. Der Abteilungspräsident tritt auf sie im vereinfachten Verfahren nicht ein ( Art. 108 Abs. 1 lit. b BGG ).</w:t>
      </w:r>
    </w:p>
    <w:p>
      <w:r>
        <w:rPr>
          <w:b/>
        </w:rPr>
        <w:t>E. 4</w:t>
      </w:r>
    </w:p>
    <w:p>
      <w:r>
        <w:t>Bei diesem Ausgang des Verfahrens tragen die Beschwerdeführer die Gerichtskosten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