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879/2021 vom 28. April 2022</w:t>
      </w:r>
    </w:p>
    <w:p>
      <w:r>
        <w:t>Bundesgericht, 2022-04-28, DE</w:t>
      </w:r>
    </w:p>
    <w:p>
      <w:r>
        <w:rPr>
          <w:b/>
        </w:rPr>
        <w:t xml:space="preserve">Quelle: </w:t>
      </w:r>
      <w:r>
        <w:t>https://mcp.opencaselaw.ch/entscheid/bger_5A_879_2021</w:t>
      </w:r>
    </w:p>
    <w:p>
      <w:r>
        <w:t>FR: TF 5A 879/2021 du 28 avril 2022</w:t>
      </w:r>
    </w:p>
    <w:p>
      <w:r>
        <w:t>IT: TF 5A 879/2021 del 28 aprile 2022</w:t>
      </w:r>
    </w:p>
    <w:p>
      <w:pPr>
        <w:pStyle w:val="Heading2"/>
      </w:pPr>
      <w:r>
        <w:t>Regeste</w:t>
      </w:r>
    </w:p>
    <w:p>
      <w:r>
        <w:t>Abschreibungsverfügung (Unterhaltsvertrag) | Familienrecht</w:t>
      </w:r>
    </w:p>
    <w:p>
      <w:pPr>
        <w:pStyle w:val="Heading2"/>
      </w:pPr>
      <w:r>
        <w:t>Erwägungen</w:t>
      </w:r>
    </w:p>
    <w:p>
      <w:r>
        <w:rPr>
          <w:b/>
        </w:rPr>
        <w:t>E. 1</w:t>
      </w:r>
    </w:p>
    <w:p>
      <w:r>
        <w:t>Das Bundesgericht prüft von Amtes wegen und mit freier Kognition, ob die Eintretensvoraussetzungen erfüllt sind ( BGE 147 I 89 E. 1).</w:t>
      </w:r>
    </w:p>
    <w:p>
      <w:r>
        <w:rPr>
          <w:b/>
        </w:rPr>
        <w:t>E. 2</w:t>
      </w:r>
    </w:p>
    <w:p>
      <w:r>
        <w:t>Die Beschwerdeführerin wehrt sich zum einen dagegen, dass ihr die Vorinstanz in ihrem Entscheid vom 9. September 2021 keine Parteientschädigung zugesprochen hat. Zum andern beklagt sie sich darüber, dass die Vorinstanz ihr Gesuch um unentgeltliche Rechtspflege nicht behandelt hat und sich damit eine Rechtsverweigerung bzw. Rechtsverzögerung ( Art. 29 Abs. 1 BV ; Art. 94 BGG ) zuschulden kommen liess. Mittlerweile ist dieser Entscheid ergangen (vgl. vorne Bst. C), weshalb die Beschwerde diesbezüglich als gegenstandslos geworden abzuschreiben ist ( Art. 32 Abs. 2 und Art. 71 BGG i.V.m. Art. 72 BZP ; vgl. Urteil 5A_153/2020 vom 2. April 2020 E. 2).</w:t>
      </w:r>
    </w:p>
    <w:p>
      <w:r>
        <w:rPr>
          <w:b/>
        </w:rPr>
        <w:t>E. 3.1</w:t>
      </w:r>
    </w:p>
    <w:p>
      <w:r>
        <w:t>Vor Bundesgericht ist strittig, ob der Beschwerdeführerin im abgeschriebenen Beschwerdeverfahren betreffend die Genehmigung einer Unterhalts- und Obhutsvereinbarung eine Parteientschädigung auszurichten ist. Die Zulässigkeit der Beschwerde gegen diesen Nebenpunkt richtet sich nach der Hauptsache ( BGE 134 I 159 E. 1.1; 134 V 138 E. 3; Urteile 4A_33/2020 vom 7. Oktober 2020 E. 1.1; 5A_285/2020 vom 9. Juni 2020 E. 1). Dort ist mit dem Entscheid, das Beschwerdeverfahren infolge Rückzugs der Beschwerde abzuschreiben, eine Endentscheid angefochten ( Art. 90 BGG ; Urteil 5A_703/2013 vom 6. Februar 2014 E. 1). Bei der Genehmigung einer Vereinbarung betreffend Unterhalt und Obhut handelt es sich um eine insgesamt nicht vermögensrechtliche Angelegenheit des Kindes- und Erwachsenenschutzrechts, die der Beschwerde in Zivilsachen unterliegt (Art. 72 Abs. 2 Bst. b Ziff. 6 BGG). Die Beschwerdeführerin hat am vorinstanzlichen Verfahren teilgenommen und ein schützenswertes Interesse daran, dass der angefochtene Entscheid aufgehoben oder ergänzt wird ( Art. 76 BGG ).</w:t>
      </w:r>
    </w:p>
    <w:p>
      <w:r>
        <w:rPr>
          <w:b/>
        </w:rPr>
        <w:t>E. 3.2</w:t>
      </w:r>
    </w:p>
    <w:p>
      <w:r>
        <w:t>Entgegen der Annahme des Beschwerdegegners 2 ist die Beschwerde an das Bundesgericht rechtzeitig erfolgt ( Art. 100 Abs. 1 BGG ). Unbestritten ist, dass der angefochtene Entscheid versehentlich zuerst der Beschwerdeführerin geschickt wurde und erst anschliessend, und zwar mit Schreiben vom 21. September 2021, ihrer Rechtsvertreterin. Auf die Eröffnung an die Vertreterin ist abzustellen (vgl. Art. 450f ZGB i.V.m. Art. 15 der Verordnung des Kantons Obwalden vom 9. März 1973 über das Verwaltungsgerichtsverfahren [VGV/OW; GDB 134.14] und Art. 137 ZPO ; BGE 143 III 28 E. 2.2.1). Spekulationen darüber, ob die Vertreterin allenfalls bereits früher vom angefochtenen Entscheid Kenntnis hatte, erübrigen sich.</w:t>
      </w:r>
    </w:p>
    <w:p>
      <w:r>
        <w:rPr>
          <w:b/>
        </w:rPr>
        <w:t>E. 3.3</w:t>
      </w:r>
    </w:p>
    <w:p>
      <w:r>
        <w:t>Auf die Beschwerde in Zivilsachen ist einzutreten. Die ebenfalls erhobene subsidiäre Verfassungsbeschwerde ist unzulässig ( Art. 113 BV ). Unter Vorbehalt von E. 2 hiervor ebenfalls unzulässig bleiben Hinweise der Parteien auf nach dem angefochtenen Entscheid eingetretene Tatsachen (vgl. Art. 99 BGG ; BGE 143 V 19 E. 1.2; 139 III 120 E. 3.1.2).</w:t>
      </w:r>
    </w:p>
    <w:p>
      <w:r>
        <w:rPr>
          <w:b/>
        </w:rPr>
        <w:t>E. 4.1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4.2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 Dieselben Rüge- und Begründungsvoraussetzungen gelten für das Vorbringen der Verletzung verfassungsmässiger Rechte ( BGE 144 II 313 E. 5.1; 143 II 283 E. 1.2.2).</w:t>
      </w:r>
    </w:p>
    <w:p>
      <w:r>
        <w:rPr>
          <w:b/>
        </w:rPr>
        <w:t>E. 5.1</w:t>
      </w:r>
    </w:p>
    <w:p>
      <w:r>
        <w:t>Die Beschwerdeführerin wirft der Vorinstanz eine Verletzung des rechtlichen Gehörs ( Art. 29 Abs. 2 BV ) und damit verbunden eine lückenhafte und willkürliche Feststellung des Sachverhalts vor ( Art. 9 BV ). So habe sie erst mit dem Abschreibungsentscheid Kenntnis davon erhalten, dass der Beschwerdegegner 1 seine Beschwerde zurückgezogen habe. Entsprechend habe sie sich auch nicht dazu äussern können, welche Kostenfolgen daraus resultierten. Die Feststellung, es seien ihr keine Kosten entstanden, sei angesichts der von ihr in der Hauptsache eingereichten Vernehmlassung offensichtlich unrichtig.</w:t>
      </w:r>
    </w:p>
    <w:p>
      <w:r>
        <w:rPr>
          <w:b/>
        </w:rPr>
        <w:t>E. 5.2</w:t>
      </w:r>
    </w:p>
    <w:p>
      <w:r>
        <w:t>Gemäss Art. 29 Abs. 2 BV haben die Parteien Anspruch auf rechtliches Gehör. Aus dieser verfassungsmässigen Garantie folgt unter anderem das Recht einer Partei, vor dem Erlass eines Abschreibungsentscheids insbesondere zur Kosten- und Entschädigungsregelung angehört zu werden ( BGE 142 III 284 E. 4.2; Urteil 5D_21/2021 vom 20. Dezember 2021 E. 2.2).</w:t>
      </w:r>
    </w:p>
    <w:p>
      <w:r>
        <w:rPr>
          <w:b/>
        </w:rPr>
        <w:t>E. 5.3</w:t>
      </w:r>
    </w:p>
    <w:p>
      <w:r>
        <w:t>Vorliegend steht fest und ist unbestritten, dass die Vorinstanz den Abschreibungsbeschluss fällte, ohne der Beschwerdeführerin Gelegenheit zu geben, sich dazu zu äussern. Sie hat damit das rechtliche Gehör der Beschwerdeführerin verletzt ( Art. 29 Abs. 2 BV ). Nicht entscheidend sind die Gründe für diese Unterlassung, so die Einschätzung der Vorinstanz, der Beschwerdeführerin seien ohnehin keine Kosten entstanden.</w:t>
      </w:r>
    </w:p>
    <w:p>
      <w:r>
        <w:rPr>
          <w:b/>
        </w:rPr>
        <w:t>E. 5.4</w:t>
      </w:r>
    </w:p>
    <w:p>
      <w:r>
        <w:t>Unter diesen Umständen ist die Beschwerde gutzuheissen und die Sache zu neuem Entscheid an die Vorinstanz zurückzuweisen, damit sie nach Anhörung der Parteien über die Entschädigung der Beschwerdeführerin befindet. Ein reformatorischer Entscheid entsprechend dem Haupt- und Eventualantrag der Beschwerdeführerin scheidet aus. Mit der Festlegung der Parteientschädigung sind Fragen strittig, die das Bundesgericht zum vornherein nicht mit voller Kognition überprüfen kann, womit eine Heilung der Gehörsverletzung nicht in Betracht kommt ( BGE 144 III 394 E. 4.4). Auf die weiteren Vorbringen der Beschwerdeführerin ist unter diesen Umständen nicht mehr einzugehen.</w:t>
      </w:r>
    </w:p>
    <w:p>
      <w:r>
        <w:rPr>
          <w:b/>
        </w:rPr>
        <w:t>E. 6</w:t>
      </w:r>
    </w:p>
    <w:p>
      <w:r>
        <w:t>Zusammenfassend ist die Rechtsverzögerungsbeschwerde als gegenstandslos geworden abzuschreiben, im Übrigen aber ist die Beschwerde gutzuheissen. Die Gerichtskosten von Fr. 2'000.-- werden im Umfang von Fr. 1'000.-- dem Beschwerdegegner 1 auferlegt ( Art. 66 Abs. 1 und 2 BGG ). Dem Gemeinwesen sind keine Gerichtskosten aufzuerlegen ( Art. 66 Abs. 4 BGG ). Es hat aber die Beschwerdeführerin zusammen mit dem Beschwerdegegner 1 zu entschädigen ( Art. 68 Abs. 1 und 2 BGG ). Das Gesuch der Beschwerdeführerin um unentgeltliche Rechtspflege ist in der Folge als gegenstandslos geworden abzuschreiben ( Art. 64 BGG ). Die Beschwerdegegner werden mit Blick auf die wirtschaftlichen Verhältnisse der Beschwerdeführerin angewiesen, die Entschädigung direkt deren Rechtsvertreterin auszurichten (vgl. Urteile 5A_229/2020 vom 13. Juli 2020 E. 3; 5A_91/2020 vom 8. April 2020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