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878/2013 vom 16. Dezember 2013</w:t>
      </w:r>
    </w:p>
    <w:p>
      <w:r>
        <w:t>Bundesgericht, 2013-12-16, DE</w:t>
      </w:r>
    </w:p>
    <w:p>
      <w:r>
        <w:rPr>
          <w:b/>
        </w:rPr>
        <w:t xml:space="preserve">Quelle: </w:t>
      </w:r>
      <w:r>
        <w:t>https://mcp.opencaselaw.ch/entscheid/bger_5A_878_2013</w:t>
      </w:r>
    </w:p>
    <w:p>
      <w:r>
        <w:t>FR: TF 5A 878/2013 du 16 décembre 2013</w:t>
      </w:r>
    </w:p>
    <w:p>
      <w:r>
        <w:t>IT: TF 5A 878/2013 del 16 dicembre 2013</w:t>
      </w:r>
    </w:p>
    <w:p>
      <w:pPr>
        <w:pStyle w:val="Heading2"/>
      </w:pPr>
      <w:r>
        <w:t>Regeste</w:t>
      </w:r>
    </w:p>
    <w:p>
      <w:r>
        <w:t>Kostenvorschuss | Schuldbetreibungs- und Konkursrecht</w:t>
      </w:r>
    </w:p>
    <w:p>
      <w:pPr>
        <w:pStyle w:val="Heading2"/>
      </w:pPr>
      <w:r>
        <w:t>Erwägungen</w:t>
      </w:r>
    </w:p>
    <w:p>
      <w:r>
        <w:rPr>
          <w:b/>
        </w:rPr>
        <w:t>E. 1.1</w:t>
      </w:r>
    </w:p>
    <w:p>
      <w:r>
        <w:t>Entscheide kantonaler Aufsichtsbehörden in Schuldbetreibungs- und Konkurssachen unterliegen unabhängig eines Streitwertes der Beschwerde in Zivilsachen ( Art. 72 Abs. 2 lit a, Art.74 Abs. 2 lit. c BGG ). Als Betreibende hat die Beschwerdeführerin ein schutzwürdiges Interesse an der Anfechtung des obergerichtlichen Entscheides ( Art. 76 Abs. 1 lit. b BGG ; Urteil 5A_732/2009 vom 4. Februar 2010 E. 1.2, nicht publ. in: BGE 136 III 155 ).</w:t>
      </w:r>
    </w:p>
    <w:p>
      <w:r>
        <w:rPr>
          <w:b/>
        </w:rPr>
        <w:t>E. 1.2</w:t>
      </w:r>
    </w:p>
    <w:p>
      <w:r>
        <w:t>Mit der Beschwerde in Zivilsachen kann die Verletzung von Bundesrecht gerügt werden ( Art. 95 BGG ). Das Bundesgericht wendet das Recht in diesem Bereich grundsätzlich von Amtes wegen und mit freier Kognition an ( Art. 106 Abs. 1 BGG ). In der Beschwerde ist in gedrängter Form darzulegen, inwiefern der angefochtene Akt Recht verletzt ( Art. 42 Abs. 2 BGG ; BGE 134 III 102 E. 1.1 S. 104). Die Verletzung verfassungsmässiger Rechte ist ebenfalls zu begründen ( Art. 106 Abs. 2 BGG ), wobei hier das Rügeprinzip gilt ( BGE 133 III 589 E. 2 S. 591). Das Bundesgericht legte seinem Urteil den Sachverhalt zugrunde, den die Vorinstanz festgestellt hat ( Art. 105 BGG ).</w:t>
      </w:r>
    </w:p>
    <w:p>
      <w:r>
        <w:rPr>
          <w:b/>
        </w:rPr>
        <w:t>E. 2</w:t>
      </w:r>
    </w:p>
    <w:p>
      <w:r>
        <w:t>Anlass zur vorliegenden Beschwerde gibt die Kostenrechnung für den Pfändungsvollzug. Nicht einzutreten ist auf die bei dieser Gelegenheit geäusserte allgemeine Kritik der Beschwerdeführerin an der Arbeitsweise der Betreibungsbeamten und deren Aufsichtsbehörden im Kanton Schwyz, da kein Zusammenhang mit dem angefochtenen Beschluss erkennbar ist. Zudem kommt dem Bundesgericht seit dem 1. Januar 2007 keine Aufsichtsfunktion im Zwangsvollstreckungsrecht mehr zu ( Art. 15 SchKG ; Urteil 5A_39/2013 vom 24. Juli 2013 E. 3).</w:t>
      </w:r>
    </w:p>
    <w:p>
      <w:r>
        <w:rPr>
          <w:b/>
        </w:rPr>
        <w:t>E. 2.1</w:t>
      </w:r>
    </w:p>
    <w:p>
      <w:r>
        <w:t>Der Bundesrat setzt den Gebührentarif fest ( Art. 16 Abs. 1 SchKG ). Dieser legt sämtliche Kosten (Gebühren und Auslagen) der Vollstreckungsorgane einschliesslich der Aufsichtsbehörden und Gerichte für die ihnen bei der Anwendung des SchKG übertragenen Aufgaben abschliessend fest ( BGE 128 III 476 E. 1 S. 478; 131 III 136 E. 3.1 S. 138).</w:t>
      </w:r>
    </w:p>
    <w:p>
      <w:r>
        <w:rPr>
          <w:b/>
        </w:rPr>
        <w:t>E. 2.2</w:t>
      </w:r>
    </w:p>
    <w:p>
      <w:r>
        <w:t>Die Gebühr für den Vollzug der Pfändung, einschliesslich Abfassung der Pfändungsurkunde mit den gesetzlich vorgeschriebenen Angaben ( Art. 112 Abs. 1 SchKG ), bemisst sich nach der Betreibungsforderung ( Art. 20 Abs. 1 GebV SchKG ) und beträgt im vorliegenden Fall Fr. 190.--; diesen Ansatz stellt die Beschwerdeführerin zu Recht nicht in Frage. In der Vollzugsgebühr ist die Abfassung der Urkunde für das Amt enthalten ( BOESCH, in: Kommentar Gebührenverordnung, 2008, N. 1 zu Art. 20). Davon zu unterscheiden sind die Gebühren für die Erstellung einer Abschrift zu Handen des Gläubigers und des Schuldners, welche diesen nach Ablauf der 30-tägigen Teilnahmefrist zuzustellen ist (Art. 9 Abs. 1 in Verbindung mit Art. 24 GebV SchKG ; vgl. Art. 114 SchKG ). Im konkreten Fall wurde hierfür jeweils Fr. 64.-- in Rechnung gestellt, was im Betrag von der Beschwerdeführerin nicht grundsätzlich kritisiert wird. Sie vertritt jedoch die Ansicht, dass das Betreibungsamt Art. 9 Abs. 3 GebV SchKG und nicht Art. 9 Abs. 1 GebV SchKG hätte anwenden müssen und gestützt auf die massgebliche Bestimmung lediglich Fr. 2.-- statt Fr. 8.-- pro Seite hätte in Rechnung stellen dürfen. Mit dieser Sichtweise vermengt sie die Gebühr für die Erstellung der Pfändungsurkunde mit derjenigen für die Erstellung einer Fotokopie aus bestehenden Akten, wie die Vorinstanz ihr bereits erläutert hat. Es handelt sich keinesfalls um eine Verwechslung von Abs. 3 mit Abs. 1 von Art. 9 GebV SchKG seitens des Betreibungsamtes, wie die Beschwerdeführerin meint.</w:t>
      </w:r>
    </w:p>
    <w:p>
      <w:r>
        <w:rPr>
          <w:b/>
        </w:rPr>
        <w:t>E. 3</w:t>
      </w:r>
    </w:p>
    <w:p>
      <w:r>
        <w:t>Nach dem Dargelegten ist keine Verletzung von Bundesrecht erkennbar. Ausgangsgemäss trägt die Beschwerdeführerin die Verfahrenskosten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