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5A_877/2023 vom 17. Januar 2024</w:t>
      </w:r>
    </w:p>
    <w:p>
      <w:r>
        <w:t>Bundesgericht, 2024-01-17, FR</w:t>
      </w:r>
    </w:p>
    <w:p>
      <w:r>
        <w:rPr>
          <w:b/>
        </w:rPr>
        <w:t xml:space="preserve">Quelle: </w:t>
      </w:r>
      <w:r>
        <w:t>https://mcp.opencaselaw.ch/entscheid/bger_5A_877_2023</w:t>
      </w:r>
    </w:p>
    <w:p>
      <w:r>
        <w:t>FR: TF 5A_877/2023 du 17 janvier 2024</w:t>
      </w:r>
    </w:p>
    <w:p>
      <w:r>
        <w:t>IT: TF 5A_877/2023 del 17 gennaio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A.________ (1966) est sous curatelle de représentation et de gestion étendue au domaine médical depuis le 17 décembre 2018; B.________, avocat, a été nommé en qualité de curateur.</w:t>
      </w:r>
    </w:p>
    <w:p>
      <w:r>
        <w:rPr>
          <w:b/>
        </w:rPr>
        <w:t>E. 1.2</w:t>
      </w:r>
    </w:p>
    <w:p>
      <w:r>
        <w:t>Statuant le 20 février 2023, le Tribunal de protection de l'adulte et de l'enfant du canton de Genève a approuvé les rapports et comptes de la période du 17 décembre 2018 au 21 décembre 2020; il a alloué au curateur la somme de 40'007 fr. 93 à titre d'honoraires.</w:t>
      </w:r>
    </w:p>
    <w:p>
      <w:r>
        <w:t>Par décision du 13 octobre suivant, la Chambre de surveillance de la Cour de justice du canton de Genève a déclaré irrecevable le recours de la personne concernée à l'encontre de la rémunération du curateur, aux frais de la recourante (400 fr.).</w:t>
      </w:r>
    </w:p>
    <w:p>
      <w:r>
        <w:rPr>
          <w:b/>
        </w:rPr>
        <w:t>E. 2</w:t>
      </w:r>
    </w:p>
    <w:p>
      <w:r>
        <w:t>Par écriture expédiée le 17 novembre 2023, la personne concernée exerce un recours au Tribunal fédéral contre la décision précitée.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 la recourante est traitée en tant que recours en matière civile au sens de l'art. 72 al. 2 let. b ch. 6 LTF (arrêt 5A_966/2023 du 21 décembre 2023 consid. 4). Il est superflu de discuter plus avant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la cour cantonale n'est pas entrée en matière sur les nouveaux griefs et nouvelles conclusions formulés par la recourante dans ses répliques, à savoir après l'écoulement du délai de recours et la mise de la cause en délibération. Pour le surplus, elle a considéré que le recours ne répondait pas aux exigences de motivation prévues à l' art. 450 al. 3 CC , car l'intéressée n'énonçait pas en quoi le premier juge aurait constaté arbitrairement les faits et/ou en quoi consisteraient les violations du droit qui lui sont reprochées quant au montant de la rétribution du curateur.</w:t>
      </w:r>
    </w:p>
    <w:p>
      <w:r>
        <w:rPr>
          <w:b/>
        </w:rPr>
        <w:t>E. 4.2.1</w:t>
      </w:r>
    </w:p>
    <w:p>
      <w:r>
        <w:t>La recourante affirme que l'activité du curateur n'a pas nécessité de travail particulier, "</w:t>
      </w:r>
    </w:p>
    <w:p>
      <w:r>
        <w:t>en tout cas pas (...)</w:t>
      </w:r>
    </w:p>
    <w:p>
      <w:r>
        <w:t>190 heures de travail "; elle demande dès lors au Tribunal fédéral de réduire "</w:t>
      </w:r>
    </w:p>
    <w:p>
      <w:r>
        <w:t>en conséquence " le montant des honoraires litigieux. Le recours est toutefois irrecevable à cet égard, faute de conclusions chiffrées ( art. 42 al. 1 LTF ;</w:t>
      </w:r>
    </w:p>
    <w:p>
      <w:r>
        <w:t>cf . sur cette exigence: ATF 143 III 111 consid. 1.2 et la jurisprudence citée).</w:t>
      </w:r>
    </w:p>
    <w:p>
      <w:r>
        <w:rPr>
          <w:b/>
        </w:rPr>
        <w:t>E. 4.2.2</w:t>
      </w:r>
    </w:p>
    <w:p>
      <w:r>
        <w:t>De surcroît, la recourante discute le fond du litige, mais ne s'en prend aucunement aux motifs d'irrecevabilité admis par les magistrats précédents (</w:t>
      </w:r>
    </w:p>
    <w:p>
      <w:r>
        <w:t>cf .</w:t>
      </w:r>
    </w:p>
    <w:p>
      <w:r>
        <w:t>supra , consid. 4.1). Le recours s'avère ainsi irrecevable pour ce motif également ( art. 42 al. 2 LTF ; ATF 140 III 86 consid. 2 et 115 consid. 2, avec la jurisprudence citée).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a et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