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5A_875/2021 vom 27. Oktober 2021</w:t>
      </w:r>
    </w:p>
    <w:p>
      <w:r>
        <w:t>Bundesgericht, 2021-10-27, DE</w:t>
      </w:r>
    </w:p>
    <w:p>
      <w:r>
        <w:rPr>
          <w:b/>
        </w:rPr>
        <w:t xml:space="preserve">Quelle: </w:t>
      </w:r>
      <w:r>
        <w:t>https://mcp.opencaselaw.ch/entscheid/bger_5A_875_2021</w:t>
      </w:r>
    </w:p>
    <w:p>
      <w:r>
        <w:t>FR: TF 5A_875/2021 du 27 octobre 2021</w:t>
      </w:r>
    </w:p>
    <w:p>
      <w:r>
        <w:t>IT: TF 5A_875/2021 del 27 ottobre 2021</w:t>
      </w:r>
    </w:p>
    <w:p>
      <w:pPr>
        <w:pStyle w:val="Heading2"/>
      </w:pPr>
      <w:r>
        <w:t>Erwägungen</w:t>
      </w:r>
    </w:p>
    <w:p>
      <w:r>
        <w:rPr>
          <w:b/>
        </w:rPr>
        <w:t>E. 1</w:t>
      </w:r>
    </w:p>
    <w:p>
      <w:r>
        <w:t>Vor dem Kantonsgericht hatte der Beschwerdeführer geltend gemacht, in Südafrika Bilanzfälschungen von Firmen und Banken aufgedeckt zu haben und dadurch in eine Sache mit Managern, Anwälten und Regierungsvertretern verstrickt worden zu sein, die sich bis heute hinziehe, was auch dem EDA bekannt sei; deshalb beantrage er Schutz durch das Kantonsgericht und die Bereitstellung von Infrastruktur und Personal, um seine Geschichte aufzuarbeiten.</w:t>
      </w:r>
    </w:p>
    <w:p>
      <w:r>
        <w:t>Das Kantonsgericht hat erwogen, dass gemäss den Abklärungen der KESB kein Schwächezustand vorliege, welcher eine erwachsenenschutzrechtliche Massnahme erfordern könnte; insbesondere wirke der Beschwerdeführer gepflegt, habe er eine adäquate Unterkunft, erledige er seine Post und Rechnungen selbst, scheine er genügend finanzielle Mittel zu haben, sei er im Scheidungsverfahren anwaltlich vertreten und wisse er sich zu helfen, auch in medizinischer Hinsicht. Was er verlange, stehe ausserhalb der Kompetenzen der KESB, und ein Verzicht auf Erwachsenenschutzmassnahmen erweise sich als verhältnismässig. Ferner wies das Kantonsgericht das Gesuch um unentgeltliche Rechtspflege ab mit der Begründung, es würden keine Angaben zu den Einkommens- und Vermögensverhältnissen gemacht.</w:t>
      </w:r>
    </w:p>
    <w:p>
      <w:r>
        <w:rPr>
          <w:b/>
        </w:rPr>
        <w:t>E. 2</w:t>
      </w:r>
    </w:p>
    <w:p>
      <w:r>
        <w:t>Die Beschwerde an das Bundesgericht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t>Der Beschwerdeführer rügt eine Verletzung von Art. 29 Abs. 2 BV . Er habe dem Kantonsgericht dargelegt, weshalb er Zeugen- und Personenschutz benötige, aber das Gericht sei darauf überhaupt nicht eingegangen. Diese Ausführungen gehen insofern an der Sache vorbei, als das Kantonsgericht festgehalten hat, der Beschwerdeführer verlange Dinge, die ausserhalb der Kompetenzen der KESB stünden. Inwiefern in diesem Zusammenhang Recht verletzt worden sein soll, wird nicht dargetan.</w:t>
      </w:r>
    </w:p>
    <w:p>
      <w:r>
        <w:t>Der Beschwerdefüḧrer rügt weiter eine Verletzung von Art. 29 Abs. 3 BV . Zur Begründung führt er in abstrakter Weise an, offensichtlich mittellos zu sein. Die Erwägungen im angefochtenen Entscheid gehen indes dahin, dass er seine Einkommens- und Vermögensverhältnisse hätte darlegen müssen, was nicht geschehen sei. Damit setzt sich der Beschwerdeführer nicht auseinander, weshalb seine Beschwerde auch in diesem Punkt unbegründet bleibt. Der unsubstanziierte Verweis auf die KESB-Akten, denen sich die Mittellosigkeit entnehmen lassen soll, sowie die Behauptung, im Scheidungsverfahren verfüge er ebenfalls über die unentgeltliche Rechtspflege, ist jedenfalls nicht geeignet, eine Verletzung von Art. 29 Abs. 3 BV darzutun, denn die Entscheidinstanz ist nicht gehalten, von sich aus in fremden Akten nach Unterlagen zu suchen, sondern die um unentgeltliche Rechtspflege ersuchende Partei trifft eine Mitwirkungsobliegenheit und sie hat die Tatsachen, welche die behauptete Mittellosigkeit begründen, von sich aus darzutun ( BGE 125 IV 161 E. 4a S. 164 f.; letztmals Urteile 1B_90/2019 vom 20. Februar 2020 E. 3; 2C_367/2020 vom 7. Oktober 2020 E. 3.3; 4A_622/2020 vom 5. Februar 2021 E. 2.4).</w:t>
      </w:r>
    </w:p>
    <w:p>
      <w:r>
        <w:rPr>
          <w:b/>
        </w:rPr>
        <w:t>E. 3</w:t>
      </w:r>
    </w:p>
    <w:p>
      <w:r>
        <w:t>Nach dem Gesagten ist die Beschwerde abzuweisen, soweit überhaupt auf sie einzutreten ist. 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