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875/2018 vom 4. Februar 2019</w:t>
      </w:r>
    </w:p>
    <w:p>
      <w:r>
        <w:t>Bundesgericht, 2019-02-04, FR</w:t>
      </w:r>
    </w:p>
    <w:p>
      <w:r>
        <w:rPr>
          <w:b/>
        </w:rPr>
        <w:t xml:space="preserve">Quelle: </w:t>
      </w:r>
      <w:r>
        <w:t>https://mcp.opencaselaw.ch/entscheid/bger_5A_875_2018</w:t>
      </w:r>
    </w:p>
    <w:p>
      <w:r>
        <w:t>FR: TF 5A 875/2018 du 4 février 2019</w:t>
      </w:r>
    </w:p>
    <w:p>
      <w:r>
        <w:t>IT: TF 5A 875/2018 del 4 febbraio 2019</w:t>
      </w:r>
    </w:p>
    <w:p>
      <w:pPr>
        <w:pStyle w:val="Heading2"/>
      </w:pPr>
      <w:r>
        <w:t>Regeste</w:t>
      </w:r>
    </w:p>
    <w:p>
      <w:r>
        <w:t>surveillance de la fondation (nomination d'un commissaire et destitution des membres du conseil) | Droit des personnes</w:t>
      </w:r>
    </w:p>
    <w:p>
      <w:pPr>
        <w:pStyle w:val="Heading2"/>
      </w:pPr>
      <w:r>
        <w:t>Erwägungen</w:t>
      </w:r>
    </w:p>
    <w:p>
      <w:r>
        <w:rPr>
          <w:b/>
        </w:rPr>
        <w:t>E. 1</w:t>
      </w:r>
    </w:p>
    <w:p>
      <w:r>
        <w:t>La décision entreprise est une décision finale ( art. 90 LTF ), qui concerne la surveillance d'une fondation. Elle est donc sujette au recours en matière civile (art. 72 al. 2 let. b ch. 4 LTF), étant précisé que l'intitulé erroné d'un recours ne nuit pas à son auteur, pour autant que les conditions de recevabilité du recours qui aurait dû être déposé soient réunies (notamment: ATF 136 II 489 consid. 2.1). Tel est ici le cas: la valeur litigieuse de cette affaire de nature pécuniaire ( ATF 144 III 264 consid. 1.3; arrêt 5A_97/2018 du 10 septembre 2018 consid. 1.1) peut être estimée comme étant supérieure à 30'000 fr., vu le patrimoine de la Fondation et les difficultés de gestion relevées (art. 51 al. 2 et 74 al. 1 let. b LTF); la décision querellée a par ailleurs été rendue par un tribunal supérieur statuant en dernière instance cantonale ( art. 75 al. 1 LTF ) et le recourant, qui a agi à temps ( art. 100 al. 1 LTF ),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 art. 42 al. 2 LTF exige par ailleurs que le recourant discute les motifs de la décision entreprise et indique précisément en quoi il estime que l'autorité précédente a méconnu le droit ( ATF 140 III 86 consid. 2). Le Tribunal fédéral ne connaît en outre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 Les critiques de nature appellatoire sont irrecevables ( ATF 141 IV 249 consid. 1.3.1 et la référence).</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 sens de l' art. 9 Cst. ( ATF 143 I 310 consid. 2.2 et la référence),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 art. 106 al. 2 LTF ;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les références).</w:t>
      </w:r>
    </w:p>
    <w:p>
      <w:r>
        <w:rPr>
          <w:b/>
        </w:rPr>
        <w:t>E. 3</w:t>
      </w:r>
    </w:p>
    <w:p>
      <w:r>
        <w:t>Le recourant se plaint dans un premier grief de la violation de son droit d'être entendu (art. 6 § 1 CEDH et 29 al. 2 Cst.) en lien avec le refus de procéder à l'audition de l'ancien organe de révision, destinée selon lui à démontrer l'existence d'une erreur comptable portant sur un montant de 701'503 fr. 01, découverte en 2013 seulement et qui aurait conduit à la création d'un compte " fondateur ".</w:t>
      </w:r>
    </w:p>
    <w:p>
      <w:r>
        <w:rPr>
          <w:b/>
        </w:rPr>
        <w:t>E. 3.1</w:t>
      </w:r>
    </w:p>
    <w:p>
      <w:r>
        <w:t>Le droit d'être entendu garanti par l' art. 29 al. 2 Cst. (dont la portée est identique à celle de l'art. 6 § 1 CEDH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140 I 285 consid. 6.3.1). Cette garantie constitutionnelle n'empêche pas l'autorité cantonale de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Le refus d'une mesure probatoire par appréciation anticipée des preuves ne peut toutefois être remis en cause devant le Tribunal fédéral qu'en invoquant l'arbitraire (cf. ATF 140 I 285 consid. 6.3.1; 136 I 229 consid. 5.3; consid. 2.2 supra). En tant que le droit d'être entendu ne comprend pas le droit d'obtenir l'audition de témoins ( ATF 130 II 425 consid. 2.1), l'autorité de jugement peut donc renoncer à en faire citer si, dans le cadre d'une appréciation anticipée non arbitraire des preuves, elle peut dénier à ces témoignages une valeur probante décisive pour le jugement (cf. arrêt 2C_377/2014 du 26 mai 2015 consid. 6.1, in RDAF 2015 II 294).</w:t>
      </w:r>
    </w:p>
    <w:p>
      <w:r>
        <w:rPr>
          <w:b/>
        </w:rPr>
        <w:t>E. 3.2</w:t>
      </w:r>
    </w:p>
    <w:p>
      <w:r>
        <w:t>La chambre administrative a considéré que l'audition de l'ancien organe de révision ne se justifiait pas, excluant, par appréciation anticipée des preuves, l'existence de l'erreur comptable alléguée. Singulièrement, l'autorité cantonale a relevé qu'elle avait entendu F.________ ainsi que N.________, experte-comptable auprès de K.________ SA, qu'elle disposait de la documentation nécessaire concernant les écritures comptables de la Fondation liées à la procédure et que les explications fournies quant à l'existence de l'erreur de comptabilité n'étaient au demeurant pas crédibles. A ce dernier égard, la cour cantonale a relevé qu'aucune pièce probante (documents bancaires ou contrat) ne démontrait, ainsi que l'intéressé l'affirmait, que le montant de 701'503 fr. 01, qui lui appartiendrait, n'aurait pas été donné à la Fondation mais remis à celle-ci à titre fiduciaire ou en usufruit; lui-même avait par ailleurs approuvé les comptes 2010, 2011, 2012, lesquels ne permettaient nullement d'admettre que les fonds auraient été remis à la Fondation en simple jouissance. Il fallait ainsi en déduire que la création du compte " fondateur " et l'affectation à celui-ci de ce qu'il restait du montant initial de 701'503 fr. 01 constituait une rétrocession des biens de la Fondation au recourant, ce qui était inadmissible au regard de ses statuts.</w:t>
      </w:r>
    </w:p>
    <w:p>
      <w:r>
        <w:rPr>
          <w:b/>
        </w:rPr>
        <w:t>E. 3.3.1</w:t>
      </w:r>
    </w:p>
    <w:p>
      <w:r>
        <w:t>Le recourant ne s'en prend pas efficacement à cette appréciation, se limitant en effet essentiellement à affirmer l'importance du témoignage de l'ancien organe de révision quant aux circonstances entourant la découverte de l'erreur comptable, puis la décision de sa réparation. Il ne critique cependant nullement la conclusion cantonale excluant la crédibilité de cette erreur et l'appréciation des preuves qui l'appuient. Opposer qu'il était gravement malade lors de l'approbation des comptes des premiers exercices et qu'il ne disposait d'aucune formation juridique et comptable n'est pas suffisant au regard de l'obligation de motivation découlant du principe d'allégation (supra consid. 2.1). Le même raisonnement s'impose s'agissant des affirmations liées au fait que la conclusion d'une convention de fiducie ne nécessiterait aucune forme particulière ou que les statuts ne prohiberaient pas la création d'un compte " fondateur " destiné à rétablir la réalité comptable, le recourant ne contestant pas que la réalité d'un tel contrat fiduciaire n'était appuyé par aucun élément - pièces, respectivement documents bancaires. Dès lors que le recourant ne parvient pas à démontrer l'arbitraire de l'appréciation anticipée des preuves opérée par la cour cantonale, son reproche lié au refus d'auditionner l'ancien organe de révision de la Fondation ne peut qu'être rejeté (consid. 3.1 in fine).</w:t>
      </w:r>
    </w:p>
    <w:p>
      <w:r>
        <w:rPr>
          <w:b/>
        </w:rPr>
        <w:t>E. 3.3.2</w:t>
      </w:r>
    </w:p>
    <w:p>
      <w:r>
        <w:t>Le recourant se plaint de surcroît de ce que la chambre administrative aurait refusé l'audition litigieuse en prétextant la clôture de l'instruction selon " l'accord des parties ". Affirmant qu'il n'aurait jamais donné son accord en ce sens, le recourant prétend qu'une telle clôture de l'instruction n'était manifestement pas compatible avec son droit d'être entendu, des réquisitions de preuves pouvant être formulées à tous les stades de la procédure et lui-même n'ayant été représenté par un avocat qu'au stade des observations finales. L'on relèvera à ce sujet, outre le fait que le droit d'être entendu ne donne pas le droit d'obtenir l'audition de témoins (consid. 3.1 supra), que l'autorité cantonale a indiqué, après avoir précisément écarté le témoignage sollicité par le recourant, qu'il était loisible à celui-ci d'envoyer un rapport ou une attestation de l'ancien organe de révision s'il jugeait ce point important pour la solution du litige. L'intéressé n'a cependant pas donné suite à cette invitation.</w:t>
      </w:r>
    </w:p>
    <w:p>
      <w:r>
        <w:rPr>
          <w:b/>
        </w:rPr>
        <w:t>E. 4</w:t>
      </w:r>
    </w:p>
    <w:p>
      <w:r>
        <w:t>Le recourant invoque ensuite la violation de l' art. 80 CC , reprochant à la cour cantonale de ne pas avoir admis la création du compte " fondateur " et d'avoir ainsi retenu que celle-ci constituait en réalité une rétrocession des biens de la Fondation au recourant, en violation de l'art. 19.4 de ses statuts. Ce grief est scellé par le considérant précédent, le recourant n'ayant pas démontré l'arbitraire de l'appréciation des preuves effectuée par l'autorité cantonale pour parvenir à cette conclusion (consid. 3.3.1 supra).</w:t>
      </w:r>
    </w:p>
    <w:p>
      <w:r>
        <w:rPr>
          <w:b/>
        </w:rPr>
        <w:t>E. 5</w:t>
      </w:r>
    </w:p>
    <w:p>
      <w:r>
        <w:t>Le recourant se plaint encore de la violation de l' art. 84 CC . Il estime que c'est à tort que la chambre administrative a considéré que les fonds n'auraient pas été affectés au but de la Fondation, tant le salaire versé à F.________ que les prêts consentis ayant été utilisés à cette fin. La révocation du conseil serait ainsi une sanction disproportionnée.</w:t>
      </w:r>
    </w:p>
    <w:p>
      <w:r>
        <w:rPr>
          <w:b/>
        </w:rPr>
        <w:t>E. 5.1</w:t>
      </w:r>
    </w:p>
    <w:p>
      <w:r>
        <w:t>Selon l' art. 84 al. 1 CC , les fondations sont placées sous la surveillance de la corporation publique (Confédération, canton, commune) dont elles relèvent par leur but. D'après l' art. 84 al. 2 CC , l'autorité de surveillance pourvoit à ce que les biens des fondations soient employés conformément à leur destination. Elle doit s'assurer que les organes de la fondation agissent conformément à la loi, à l'acte de fondation, au règlement ou aux moeurs ( ATF 108 II 497 consid. 5; 111 II 97 consid. 3; arrêt 5A_232/2010 du 6 septembre 2010 consid. 3.1.1). Il est de surcroît déduit de cette obligation que le conseil de fondation place la fortune de la fondation en observant d'une manière générale les principes de la sécurité, du rendement, de la liquidité, de la répartition des risques et de la conservation de la substance réelle ( ATF 124 III 97 consid. 2a et les références). La gestion de la fortune de la fondation doit ainsi répondre aux standards professionnels, le conseil de fondation devant à cet égard notamment prévenir les conflits d'intérêts (sur ce point particulier: PFISTER, La fondation, 2017, n. 270 ss). Dans le cadre de son pouvoir de surveillance, l'autorité dispose d'une large palette de mesures préventives et répressives ( ATF 126 III 499 consid. 3a; arrêt 5A_232/2010 précité consid. 3.1.2). Les mesures préventives comprennent les recommandations, l'obligation de rendre régulièrement un rapport de gestion, voire d'autres documents (par ex. rapport de l'organe interne de révision, procès-verbaux). Quant aux mesures répressives, il s'agit de l'annulation des décisions prises par les organes, d'instructions, d'avertissements, d'amendes ou de la révocation des organes (arrêt 5A_232/2010 précité ibid. et la référence). Si l'autorité de surveillance jouit d'une grande liberté d'appréciation dans le choix de la mesure, elle n'en est pas moins tenue de respecter les principes généraux régissant l'activité administrative, parmi lesquels celui de la proportionnalité et de la subsidiarité (arrêt 5A_232/2010 précité ibid. et la référence). La révocation d'un organe est une mesure grave qui n'entre en considération que lorsqu'il y a un danger concret que les biens de la fondation ne soient pas utilisés conformément à leur destination et qu'une mesure moins rigoureuse ne permette pas d'atteindre le but recherché ( ATF 105 II 321 consid. 5a; 112 II 471 consid. 2; arrêt 5A_232/2010 précité ibid.).</w:t>
      </w:r>
    </w:p>
    <w:p>
      <w:r>
        <w:rPr>
          <w:b/>
        </w:rPr>
        <w:t>E. 5.2</w:t>
      </w:r>
    </w:p>
    <w:p>
      <w:r>
        <w:t>La chambre de surveillance a justifié la révocation du conseil de fondation par la nécessité de sauvegarder le patrimoine de la Fondation, nécessaire à la réalisation de son but. Elle a d'abord estimé que, jusqu'à présent, la gestion du patrimoine de la Fondation par le recourant et les autres membres du conseil avait conduit à des pertes patrimoniales considérables depuis sa constitution, sans que son but ait jamais été atteint. Les intéressés n'avaient pas oeuvré dans l'intérêt de la Fondation et de ses bénéficiaires statutaires, mais en fonction de leurs intérêts personnels, agissant ainsi de manière contraire aux statuts et dispositions légales applicables. Cette conclusion était appuyée par l'appréciation de plusieurs éléments factuels, précisément détaillés par la cour cantonale et que l'on peut résumer ainsi, à savoir: la rétrocession des biens de la Fondation au recourant par la création du compte " fondateur " (cf. consid. 3 et 4 supra); le salaire versé à F.________, qui, compte tenu de la faible activité déployée par l'intéressé, s'apparentait bien plus à l'octroi d'un avantage économique qu'à la réalisation des buts de la Fondation; les prêts octroyés à l'Association et à H.________ (350'000 fr. au total), qui, outre l'absence d'identité de but entre ces entités et la Fondation, avaient entraîné un conflit d'intérêts entre la Fondation d'une part, le recourant et F.________ d'autre part; la non conformité au but de la Fondation de l'affectation du prêt attribué à H.________, déduite du caractère variable des explications données quant à dite affectation; le défaut de crédibilité de l'allégation selon laquelle un logiciel aurait été remis à la Fondation en garantie des deux prêts susmentionnés. La chambre de surveillance a ensuite précisé qu'à ces différents éléments factuels s'ajoutait le fait que le conseil n'avait pas satisfait à son obligation de remettre à l'autorité intimée les documents de l'exercice 2015 dans le délai - prolongé - qui lui avait été imparti, prétendant même qu'elle n'était pas en surendettement alors que tel était pourtant le cas. Les critiques développées à cet égard par le recourant sont purement appellatoires. L'intéressé se limite en effet à affirmer que le salaire versé à F.________ serait proportionné à l'activité développée, la Fondation ne pouvant avoir uniquement pour but de lui venir en aide, et que la création de l'Association et l'octroi de différents prêts visaient bien à poursuivre le but de la Fondation " de manière peut être (sic) moins directe que par des dons mais visant une portée plus large et durable ". Quant au retard dans la transmission des documents comptables, le recourant se borne à affirmer qu'il était lié au refus de la société intimée d'accepter la correction de l'erreur comptable (consid. 3 et 4 supra) et ne justifiait nullement la destitution du conseil, une mesure moins incisive pouvant parfaitement être prononcée. Pour autant qu'elle saisisse l'appréciation des faits précise et complète effectuée par la cour cantonale, la motivation très générale du recourant ne permet donc nullement de la faire apparaître arbitraire. Dans ces conditions, le raisonnement cantonal ne peut qu'être considéré comme étant parfaitement conforme aux principes juridiques brièvement sus-exposés (consid. 5.1 supra).</w:t>
      </w:r>
    </w:p>
    <w:p>
      <w:r>
        <w:rPr>
          <w:b/>
        </w:rPr>
        <w:t>E. 6</w:t>
      </w:r>
    </w:p>
    <w:p>
      <w:r>
        <w:t>En définitive, le recours est rejeté dans la mesure de sa recevabilité. Les frais judiciaires sont à la charge du recourant ( art. 66 al. 1 LTF ). Il n'est pas attribué de dépens aux intimées pour leurs déterminations sur la requête d'effet suspensif dès lors que celle-ci a en effet été admise au bénéfice du recourant, que l'ASFIP agit par ailleurs dans le cadre de son mandat de surveillance cantonale ( art. 68 al. 3 LTF ) et que la Fondation B.________ n'est de toute manière pas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