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875/2013 vom 10. April 2014</w:t>
      </w:r>
    </w:p>
    <w:p>
      <w:r>
        <w:t>Bundesgericht, 2014-04-10, FR</w:t>
      </w:r>
    </w:p>
    <w:p>
      <w:r>
        <w:rPr>
          <w:b/>
        </w:rPr>
        <w:t xml:space="preserve">Quelle: </w:t>
      </w:r>
      <w:r>
        <w:t>https://mcp.opencaselaw.ch/entscheid/bger_5A_875_2013</w:t>
      </w:r>
    </w:p>
    <w:p>
      <w:r>
        <w:t>FR: TF 5A 875/2013 du 10 avril 2014</w:t>
      </w:r>
    </w:p>
    <w:p>
      <w:r>
        <w:t>IT: TF 5A 875/2013 del 10 aprile 2014</w:t>
      </w:r>
    </w:p>
    <w:p>
      <w:pPr>
        <w:pStyle w:val="Heading2"/>
      </w:pPr>
      <w:r>
        <w:t>Regeste</w:t>
      </w:r>
    </w:p>
    <w:p>
      <w:r>
        <w:t>mesures provisionnelles (retrait de la garde, placement. curatelle) | Droit de la famille</w:t>
      </w:r>
    </w:p>
    <w:p>
      <w:pPr>
        <w:pStyle w:val="Heading2"/>
      </w:pPr>
      <w:r>
        <w:t>Erwägungen</w:t>
      </w:r>
    </w:p>
    <w:p>
      <w:r>
        <w:rPr>
          <w:b/>
        </w:rPr>
        <w:t>E. 1.1</w:t>
      </w:r>
    </w:p>
    <w:p>
      <w:r>
        <w:t>Le recours est dirigé contre une décision prise en application de normes de droit public dans une matière connexe au droit civil, à savoir en matière de protection de l'enfant (art. 72 al. 2 let. b ch. 6 LTF). Comme la question soumise au Tribunal fédéral est de nature non pécuniaire, le recours est ouvert indépendamment de la valeur litigieuse (arrêt 5A_763/2011 du 7 mars 2012 consid. 1). Il a par ailleurs été interjeté en temps utile ( art. 100 al. 1 LTF ) par des parties ayant qualité pour recourir ( art. 76 al. 1 LTF ), contre une décision incidente susceptible de causer un préjudice irréparable ( art. 93 al. 1 let. a LTF ), dès lors qu'elle entraîne le placement des enfants en foyer pour la durée de la procédure au fond: même si les parents obtenaient finalement gain de cause et que le droit de garde leur soit restitué, le placement ne pourrait plus être modifié pour ce laps de temps (cf. ATF 120 Ia 260 consid. 2b; 5A_835/2008 du 12 février 2009 consid. 2.1). La décision a en outre été prise par un tribunal supérieur statuant en dernière instance cantonale ( art. 75 LTF ). Le recours en matière civile est donc en principe recevable.</w:t>
      </w:r>
    </w:p>
    <w:p>
      <w:r>
        <w:rPr>
          <w:b/>
        </w:rPr>
        <w:t>E. 1.2</w:t>
      </w:r>
    </w:p>
    <w:p>
      <w:r>
        <w:t>Dans le cas d'un recours dirigé, comme en l'espèce, contre une décision portant sur des mesures provisionnelles au sens de l' art. 98 LTF , seule peut être invoquée la violation de droits constitutionnels (cf. ATF 134 I 83 consid. 3.2; 133 III 589 consid. 2). Le Tribunal fédéral n'examine de tels griefs que s'ils ont été invoqués et motivés conformément au principe d'allégation ( art. 106 al. 2 LTF ), à savoir expressément soulevés et exposés de manière claire et détaillée ( ATF 134 I 83 précité; 133 II 249 consid. 1.4.2). Les critiques de nature appellatoire sont irrecevables ( ATF 133 III 589 consid. 2).</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de l'arrêt cantonal que s'il démontre la violation de droits constitutionnels, conformément au principe d'allégation ( ATF 133 II 249 consid. 1.2.2; arrêt 5A_338/2010 du 4 octobre 2010 consid. 3.2);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les recourants s'écartent des faits contenus dans la décision attaquée, les complètent ou les modifient, sans tenter de démontrer en quoi l'une des exceptions précitées serait réalisée, leur recours est irrecevable.</w:t>
      </w:r>
    </w:p>
    <w:p>
      <w:r>
        <w:rPr>
          <w:b/>
        </w:rPr>
        <w:t>E. 2</w:t>
      </w:r>
    </w:p>
    <w:p>
      <w:r>
        <w:t>Les recourants reprochent à l'autorité cantonale d'avoir fait preuve d'arbitraire dans l'établissement des faits sur deux points: tout en reconnaissant éprouver de la difficulté à collaborer avec le SPMi, ils soutiennent que, contrairement à l'avis des juges précédents, ils n'ont jamais refusé de coopérer avec les professionnels de la santé, en particulier les médecins ou les éducateurs, qui s'occupent de leurs enfants; il serait en outre totalement inexact de retenir que l'état de santé de leurs enfants s'est amélioré depuis leur placement en foyer, alors qu'il s'est au contraire gravement dégradé.</w:t>
      </w:r>
    </w:p>
    <w:p>
      <w:r>
        <w:rPr>
          <w:b/>
        </w:rPr>
        <w:t>E. 2.1</w:t>
      </w:r>
    </w:p>
    <w:p>
      <w:r>
        <w:t>Selon la jurisprudence, il n'y a arbitraire en matière d'appréciation des preuves et d'établissement des faits que si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136 III 552 consid. 4.2; 134 V 53 consid. 4.3; 129 I 8 consid. 2.1).</w:t>
      </w:r>
    </w:p>
    <w:p>
      <w:r>
        <w:rPr>
          <w:b/>
        </w:rPr>
        <w:t>E. 2.2</w:t>
      </w:r>
    </w:p>
    <w:p>
      <w:r>
        <w:t>Il résulte de l'arrêt attaqué qu'en 2009, des médecins du Centre médico-social du Mont-sur-Lausanne et le Directeur de l'école primaire alors fréquentée par les trois aînés, ont constaté des réactions très violentes de la mère, qui refusait tout soutien de tiers dans son rôle éducatif. Le 31 janvier 2011, les parents n'ont en outre pas assisté à une réunion concernant E.________ avec le Directeur de l'établissement scolaire fréquenté par celui-ci, un médecin du Service de santé de la jeunesse, un ergothérapeute des HUG et la cheffe du Service de la scolarité. Le Service de santé de la jeunesse a du reste informé le Tribunal, le 20 septembre 2011, des difficultés rencontrées avec les parents. Malgré les dispositions prises par l'établissement scolaire précité, les parents ont par ailleurs toujours refusé de collaborer avec le corps enseignant. La Directrice de l'enseignement et de la scolarité a également signalé au Tribunal, le 20 octobre 2011, les difficultés rencontrées avec les parents concernant la prise en charge des enfants. Les parents ont aussi refusé la mise en place d'une mesure d'AEMO (action éducative en milieu ouvert) ou d'une prise en charge extérieure par le foyer. Selon l'autorité cantonale, il est établi que les parents ont refusé de collaborer avec les professionnels de la santé et de l'éducation au sujet de leurs enfants, comme l'avait une fois de plus relevé le SPMi dans ses observations du 20 septembre 2013, en précisant que cette absence de collaboration concernait l'ensemble du réseau - à savoir l'Office médico-pédagogique, le Service de santé de la jeunesse, les HUG, la Direction de l'enseignement et de la scolarité et le Foyer G.________. Quant au grief des recourants selon lequel leurs enfants se porteraient moins bien depuis leur placement, intervenu le 22 août 2013, les juges précédents ont retenu que les pièces de la procédure ne corroboraient pas leurs allégations. En effet, l'évolution de C.________ était doublement positive, puisqu'il était à nouveau suivi correctement sur le plan médical et était scolarisé, ce qui n'avait plus été le cas depuis son retour à domicile en octobre 2012. Par ailleurs, ni l'école, ni le foyer n'avaient transmis au SPMi d'inquiétudes quant à l'intégration de E.________ et de D.________ dans leur nouvel environnement. Enfin, toutes les dispositions avaient été prises pour que F.________ bénéficie d'un encadrement adapté à son trouble.</w:t>
      </w:r>
    </w:p>
    <w:p>
      <w:r>
        <w:rPr>
          <w:b/>
        </w:rPr>
        <w:t>E. 2.3</w:t>
      </w:r>
    </w:p>
    <w:p>
      <w:r>
        <w:t>Les critiques des recourants ne sont pas de nature à démontrer l'arbitraire dans l'appréciation des faits des juges précédents. Ils se bornent à prétendre, sans plus de précision, que de «très nombreuses pièces» versées au dossier font état de leur coopération parfaite et permanente avec le corps médical. Ils soutiennent par ailleurs que E.________ subit des complications à la suite de son opération orthopédique, en particulier parce que le foyer où il est placé ne dispose pas des compétences et du personnel nécessaires pour procéder aux soins précis dont il devrait bénéficier, que C.________ doit reprendre des antidépresseurs et que D.________, qui jusqu'ici se portait bien, réclame désormais ses parents et s'inquiète de la détérioration de l'état de santé de ses frères. Au demeurant, le SPMi lui-même reconnaîtrait maintenant que le placement de F.________ à la Maison M.________ n'est pas adéquat. Ce faisant, les recourants se contentent d'opposer leur propre opinion à celle de l'autorité précédente. Leurs affirmations, de nature appellatoires et largement fondées sur des faits qui ne ressortent pas de l'arrêt attaqué ( art. 99 al. 1 LTF ), ne répondent pas aux exigences de motivation strictes qui découlent de l' art. 106 al. 2 LTF . Leurs critiques sont, partant, irrecevables.</w:t>
      </w:r>
    </w:p>
    <w:p>
      <w:r>
        <w:rPr>
          <w:b/>
        </w:rPr>
        <w:t>E. 3</w:t>
      </w:r>
    </w:p>
    <w:p>
      <w:r>
        <w:t>Les recourants soutiennent que les conditions d'application de l' art. 310 al. 1 CC ne sont plus remplies. Ils exposent que les autorités cantonales se sont exclusivement fondées sur les prises de position du SPMi, alors même que leurs rapports avec ce service - et avec lui seul - sont problématiques. Le retrait de la garde et le placement des enfants seraient ainsi totalement disproportionnés (d'autant qu'une autre solution moins incisive existe, soit les mesures AEMO), et même dangereux pour le développement des enfants.</w:t>
      </w:r>
    </w:p>
    <w:p>
      <w:r>
        <w:rPr>
          <w:b/>
        </w:rPr>
        <w:t>E. 3.1</w:t>
      </w:r>
    </w:p>
    <w:p>
      <w:r>
        <w:t>Selon l' art. 310 al. 1 CC , lorsqu'elle ne peut éviter autrement que le développement de l'enfant ne soit compromis, l'autorité retire l'enfant aux père et mère ou aux tiers chez qui il se trouve et le place de façon appropriée. Dès lors que l'application des art. 310 ss CC suppose une pesée d'intérêts de la part des autorités cantonales, le Tribunal fédéral fait preuve de retenue en revoyant leurs décisions ( ATF 120 II 384 consid. 5b). Le danger doit être tel qu'il soit impossible de le prévenir par les mesures moins énergiques prévues aux art. 307 et 308 CC ; sa cause doit résider dans le fait que le développement corporel, intellectuel ou moral de l'enfant n'est pas assez protégé ou encouragé dans le milieu de ses père et mère ou dans le milieu où ceux-ci l'ont placé (arrêts 5A_729/2013 du 11 décembre 2013 consid. 4.1; 5A_835/2008 du 12 février 2009 consid. 4.1 et les références).</w:t>
      </w:r>
    </w:p>
    <w:p>
      <w:r>
        <w:rPr>
          <w:b/>
        </w:rPr>
        <w:t>E. 3.2</w:t>
      </w:r>
    </w:p>
    <w:p>
      <w:r>
        <w:t>En l'occurrence, la Chambre de surveillance a considéré que les conditions claires et précises posées par l'expertise pour le retour des mineurs C.________, D.________ et E.________ au domicile de leurs parents n'avaient pas été respectées sur la durée, voire même n'avaient jamais été mises en place par ces derniers. L'experte préconisait à cette fin l'instauration d'un suivi psychothérapeutique de C.________ et, selon leur évolution psycho-affective, de D.________ et de E.________, ainsi qu'un suivi du même type de l'ensemble de la famille. Lors de son audition par le Tribunal, l'experte avait précisé que si les conditions demandées dans son rapport du 31 octobre 2012 n'étaient pas respectées par les parents, le développement des enfants serait compromis. En outre, les parents avaient refusé de collaborer avec les professionnels de la santé et de l'éducation au sujet de leurs enfants. Enfin, les pièces de la procédure ne corroboraient pas les allégations des père et mère, selon lesquelles les enfants se portaient moins bien depuis leur placement. Les recourants se limitent à faire valoir leur propre appréciation de l'intérêt des enfants, en s'appuyant sur des faits qui ne ressortent pas de la décision attaquée, voire qui contredisent les constatations, non arbitraires (cf. supra consid. 2.3), de l'autorité précédente. Par ailleurs, ils ne contestent pas la motivation de l'autorité cantonale fondée sur le rapport d'expertise. Par leur argumentation, essentiellement appellatoire, ils ne démontrent pas que la Chambre de surveillance aurait, de manière insoutenable, enfreint l' art. 310 al. 1 CC et, en particulier le principe de proportionnalité, en considérant que les mesures provisionnelles ordonnées par le Tribunal étaient conformes à l'intérêt des enfants, comme l'estimait également le curateur chargé de les représenter dans la procédure. Autant qu'il est suffisamment motivé ( art. 106 al. 2 LTF ), le grief est dès lors infondé.</w:t>
      </w:r>
    </w:p>
    <w:p>
      <w:r>
        <w:rPr>
          <w:b/>
        </w:rPr>
        <w:t>E. 4</w:t>
      </w:r>
    </w:p>
    <w:p>
      <w:r>
        <w:t>Se référant aux art. 314a bis, 400 et 401 al. 2 CC , ainsi que 85 al. 1 de la loi d'application du code civil suisse et d'autres lois fédérales en matière civile (LaCC; RSG E 1 05), les recourants prétendent que «la mesure de curatelle» n'est pas nécessaire et doit être annulée. Subsidiairement, il conviendrait selon eux de nommer à ce titre un curateur privé, et non le SPMi, dont ils reconnaissent qu'il fait l'objet de leur animosité.</w:t>
      </w:r>
    </w:p>
    <w:p>
      <w:r>
        <w:rPr>
          <w:b/>
        </w:rPr>
        <w:t>E. 4.1</w:t>
      </w:r>
    </w:p>
    <w:p>
      <w:r>
        <w:t>L' art. 314a bis CC prévoit la nomination d'un curateur à l'enfant mineur aux fins de faire des propositions et de le représenter en justice: en l'occurrence, un avocat, Me R.________, a été nommé à ce titre. Quant aux art. 400 et 401 al. 2 CC , ils sont sans pertinence ici, dès lors qu'ils concernent les mesures prises par l'autorité de protection de l'adulte. S'agissant des mandats de curatelle confiés à une collaboratrice du SPMi (notamment la curatelle d'organisation et de surveillance du droit de visite selon l' art. 308 al. 2 CC - comme le permet expressément l'art. 82 LaCC -, la curatelle d'assistance éducative, la curatelle aux fins d'organiser les examens et les soins médicaux des mineurs, etc.), l'autorité cantonale a considéré que les recourants n'avaient fourni aucun élément déterminant qui impliquerait la nomination d'un autre curateur qu'une collaboratrice du SPMi, le fait que des divergences existent entre eux et la curatrice désignée ne justifiant pas en l'espèce la révocation du mandat de celle-ci. Les recourants se contentent de soutenir, principalement, que «la mesure de curatelle» n'est pas nécessaire et doit, partant, être annulée. Subsidiairement, ils réitèrent l'argumentation présentée devant l'autorité précédente, fondée sur l'animosité qui existe entre eux et le SPMi: une telle motivation est manifestement insuffisante au regard de l' art. 106 al. 2 LTF , en sorte que le grief est irrecevable.</w:t>
      </w:r>
    </w:p>
    <w:p>
      <w:r>
        <w:rPr>
          <w:b/>
        </w:rPr>
        <w:t>E. 5</w:t>
      </w:r>
    </w:p>
    <w:p>
      <w:r>
        <w:t>Dans un dernier moyen, les recourants se plaignent de la violation du droit à entretenir des relations famillales qu'impliquerait le placement des enfants. Ils invoquent sur ce point les art. 13 Cst. , 12 et 16 CEDH ainsi que 23 § 1 du Pacte international relatif aux droits civils et politiques du 16 décembre 1966 (Pacte ONU II; RS 0.103.2). Dès lors que l'autorité précédente ne saurait se voir reprocher d'avoir fait preuve d'arbitraire, sa décision n'enfreint pas le droit constitutionnel au respect de la vie familiale ( art. 13 al. 1 Cst. ) qui, tel qu'il est soulevé dans le recours, revient d'ailleurs à se plaindre de violation de l' art. 310 al. 1 CC . Il en va de même de l'art. 23 § 1 Pacte ONU, autant qu'il puisse être invoqué ici. L' art. 16 CEDH , également cité par les recourants, traite des restrictions à l'activité politique des étrangers, et se révèle par conséquent sans pertinence. Quant à l' art. 12 CEDH , il concerne le droit de fonder une famille et ne s'applique donc pas aux cas où des ingérences dans la vie familiale entre parents et enfants déjà nés peuvent être justifiées (arrêt de la CourEDH 56547/00 du 16 juillet 2002 ch. 142, in Recueil CourEDH 2002-VI p. 247 ). Autant que le grief satisfait aux exigences de l' art. 106 al. 2 Cst. , il est par conséquent infondé. Il en va de même de l'affirmation selon laquelle la décision ne serait pas suffisamment motivée, l' art. 36 Cst. , invoqué par les recourants, étant au demeurant sans pertinence sur ce point.</w:t>
      </w:r>
    </w:p>
    <w:p>
      <w:r>
        <w:rPr>
          <w:b/>
        </w:rPr>
        <w:t>E. 6</w:t>
      </w:r>
    </w:p>
    <w:p>
      <w:r>
        <w:t>En conclusion, le recours se révèle mal fondé et doit par conséquent être rejeté, dans la faible mesure de sa recevabilité. Les recourants supporteront ainsi les frais judiciaires ( art.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