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874/2023 vom 27. November 2023</w:t>
      </w:r>
    </w:p>
    <w:p>
      <w:r>
        <w:t>Bundesgericht, 2023-11-27, DE</w:t>
      </w:r>
    </w:p>
    <w:p>
      <w:r>
        <w:rPr>
          <w:b/>
        </w:rPr>
        <w:t xml:space="preserve">Quelle: </w:t>
      </w:r>
      <w:r>
        <w:t>https://mcp.opencaselaw.ch/entscheid/bger_5A_874_2023</w:t>
      </w:r>
    </w:p>
    <w:p>
      <w:r>
        <w:t>FR: TF 5A 874/2023 du 27 novembre 2023</w:t>
      </w:r>
    </w:p>
    <w:p>
      <w:r>
        <w:t>IT: TF 5A 874/2023 del 27 novembre 2023</w:t>
      </w:r>
    </w:p>
    <w:p>
      <w:pPr>
        <w:pStyle w:val="Heading2"/>
      </w:pPr>
      <w:r>
        <w:t>Regeste</w:t>
      </w:r>
    </w:p>
    <w:p>
      <w:r>
        <w:t>Provisorische Rechtsöffnung | Schuldbetreibungs- und Konkursrecht</w:t>
      </w:r>
    </w:p>
    <w:p>
      <w:pPr>
        <w:pStyle w:val="Heading2"/>
      </w:pPr>
      <w:r>
        <w:t>Erwägungen</w:t>
      </w:r>
    </w:p>
    <w:p>
      <w:r>
        <w:rPr>
          <w:b/>
        </w:rPr>
        <w:t>E. 1</w:t>
      </w:r>
    </w:p>
    <w:p>
      <w:r>
        <w:t>Mit Entscheid vom 22. September 2023 erteilte das Kantonsgericht Zug der Beschwerdegegnerin gegenüber dem Beschwerdeführer in der Betreibung Nr. xxx des Betreibungsamtes Ägerital die provisorische Rechtsöffnung für Fr. 181'144.13. Dagegen erhob der Beschwerdeführer mit Eingabe vom 30. September 2023 Beschwerde beim Obergericht des Kantons Zug und ergänzte diese am 17. Oktober 2023. Mit Präsidialverfügung vom 19. Oktober 2023 trat das Obergericht auf die Beschwerde mangels genügender Begründung nicht ein. Dagegen hat der Beschwerdeführer am 18. November 2023 (Postaufgabe) Beschwerde an das Bundesgericht erhoben.</w:t>
      </w:r>
    </w:p>
    <w:p>
      <w:r>
        <w:rPr>
          <w:b/>
        </w:rPr>
        <w:t>E. 2</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macht zwar geltend, dass das Obergericht auf die Beschwerde hätte eintreten müssen. Er setzt sich aber nicht damit auseinander, dass seine kantonale Beschwerde mangelhaft begründet war. Darüber hilft sein Vorbringen nicht hinweg, dass das Obergericht den Sachverhalt von Amtes wegen hätte feststellen müssen. Seine Verweise auf Art. 272 ZPO und Art. 272c ZPO gehen fehl, denn ein Art. 272c ZPO existiert nicht und Art. 272 ZPO betrifft eherechtliche Verfahren und nicht die Rechtsöffnung. Im Übrigen äussert sich der Beschwerdeführer wie bereits im kantonalen Verfahren zu einer angeblichen Bezahlung durch eine "promissory note". Die Beschwerde enthält offensichtlich keine hinreichende Begründung. Das präsidierende Mitglied der Abteilung tritt auf sie im vereinfachten Verfahren nicht ein ( Art. 108 Abs. 1 lit. b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